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C68C" w14:textId="66152192" w:rsidR="00B72928" w:rsidRPr="00995184" w:rsidRDefault="00995184" w:rsidP="00B72928">
      <w:pPr>
        <w:spacing w:after="0" w:line="240" w:lineRule="auto"/>
        <w:jc w:val="center"/>
        <w:rPr>
          <w:rFonts w:asciiTheme="majorBidi" w:eastAsia="Times New Roman" w:hAnsiTheme="majorBidi" w:cstheme="majorBidi"/>
          <w:b/>
          <w:bCs/>
          <w:sz w:val="28"/>
          <w:szCs w:val="28"/>
          <w:highlight w:val="yellow"/>
        </w:rPr>
      </w:pPr>
      <w:bookmarkStart w:id="0" w:name="_Hlk203989644"/>
      <w:r w:rsidRPr="00995184">
        <w:rPr>
          <w:rFonts w:asciiTheme="majorBidi" w:eastAsia="Times New Roman" w:hAnsiTheme="majorBidi" w:cstheme="majorBidi"/>
          <w:b/>
          <w:bCs/>
          <w:sz w:val="28"/>
          <w:szCs w:val="28"/>
        </w:rPr>
        <w:t>The Relationships Between Intra-Dialytic Changes in Hemoglobin Level and Myocardial Injury in Patients with Chronic Kidney Disease (stage 5) Undergoing Maintenance Hemodialysis</w:t>
      </w:r>
    </w:p>
    <w:bookmarkEnd w:id="0"/>
    <w:p w14:paraId="6A0FB1FD" w14:textId="77777777" w:rsidR="00B72928" w:rsidRPr="007A53F9" w:rsidRDefault="00B72928" w:rsidP="00794F50">
      <w:pPr>
        <w:spacing w:before="240" w:line="240" w:lineRule="auto"/>
        <w:rPr>
          <w:rFonts w:asciiTheme="majorBidi" w:hAnsiTheme="majorBidi" w:cstheme="majorBidi"/>
          <w:b/>
          <w:bCs/>
          <w:sz w:val="28"/>
          <w:szCs w:val="28"/>
        </w:rPr>
      </w:pPr>
      <w:r w:rsidRPr="007A53F9">
        <w:rPr>
          <w:rFonts w:asciiTheme="majorBidi" w:hAnsiTheme="majorBidi" w:cstheme="majorBidi"/>
          <w:b/>
          <w:bCs/>
          <w:sz w:val="28"/>
          <w:szCs w:val="28"/>
        </w:rPr>
        <w:t>Abstract</w:t>
      </w:r>
    </w:p>
    <w:p w14:paraId="0926A319" w14:textId="617A153E" w:rsidR="001D3A11" w:rsidRDefault="00B72928" w:rsidP="001D3A11">
      <w:pPr>
        <w:jc w:val="both"/>
        <w:rPr>
          <w:rFonts w:asciiTheme="majorBidi" w:hAnsiTheme="majorBidi" w:cstheme="majorBidi"/>
          <w:sz w:val="24"/>
          <w:szCs w:val="24"/>
        </w:rPr>
      </w:pPr>
      <w:r w:rsidRPr="007A53F9">
        <w:rPr>
          <w:rFonts w:asciiTheme="majorBidi" w:hAnsiTheme="majorBidi" w:cstheme="majorBidi"/>
          <w:b/>
          <w:bCs/>
          <w:sz w:val="24"/>
          <w:szCs w:val="24"/>
        </w:rPr>
        <w:t>Background</w:t>
      </w:r>
      <w:r w:rsidR="003978A0" w:rsidRPr="003978A0">
        <w:rPr>
          <w:rFonts w:asciiTheme="majorBidi" w:hAnsiTheme="majorBidi" w:cstheme="majorBidi"/>
          <w:b/>
          <w:bCs/>
          <w:sz w:val="24"/>
          <w:szCs w:val="24"/>
        </w:rPr>
        <w:t xml:space="preserve">: </w:t>
      </w:r>
      <w:r w:rsidR="003978A0" w:rsidRPr="003978A0">
        <w:rPr>
          <w:rFonts w:asciiTheme="majorBidi" w:hAnsiTheme="majorBidi" w:cstheme="majorBidi"/>
          <w:sz w:val="24"/>
          <w:szCs w:val="24"/>
        </w:rPr>
        <w:t>HD eliminate toxins from the blood through ultrafiltration and diffusion</w:t>
      </w:r>
      <w:r w:rsidR="001D3A11" w:rsidRPr="007A53F9">
        <w:rPr>
          <w:rFonts w:asciiTheme="majorBidi" w:hAnsiTheme="majorBidi" w:cstheme="majorBidi"/>
          <w:sz w:val="24"/>
          <w:szCs w:val="24"/>
        </w:rPr>
        <w:t>.</w:t>
      </w:r>
      <w:r w:rsidR="00F8671D" w:rsidRPr="007A53F9">
        <w:rPr>
          <w:rFonts w:asciiTheme="majorBidi" w:hAnsiTheme="majorBidi" w:cstheme="majorBidi"/>
          <w:sz w:val="24"/>
          <w:szCs w:val="24"/>
        </w:rPr>
        <w:t xml:space="preserve"> </w:t>
      </w:r>
      <w:r w:rsidRPr="007A53F9">
        <w:rPr>
          <w:rFonts w:asciiTheme="majorBidi" w:hAnsiTheme="majorBidi" w:cstheme="majorBidi"/>
          <w:b/>
          <w:bCs/>
          <w:sz w:val="24"/>
          <w:szCs w:val="24"/>
        </w:rPr>
        <w:t>This study aimed to</w:t>
      </w:r>
      <w:r w:rsidR="001D3A11" w:rsidRPr="007A53F9">
        <w:rPr>
          <w:rFonts w:asciiTheme="majorBidi" w:hAnsiTheme="majorBidi" w:cstheme="majorBidi"/>
          <w:b/>
          <w:bCs/>
          <w:sz w:val="24"/>
          <w:szCs w:val="24"/>
        </w:rPr>
        <w:t xml:space="preserve"> </w:t>
      </w:r>
      <w:r w:rsidR="00E7026A" w:rsidRPr="00E7026A">
        <w:rPr>
          <w:rFonts w:asciiTheme="majorBidi" w:hAnsiTheme="majorBidi" w:cstheme="majorBidi"/>
          <w:sz w:val="24"/>
          <w:szCs w:val="24"/>
        </w:rPr>
        <w:t>Study the correlations between intra-dialytic changes in Hb level (post-HD-Hb/pre-HD-Hb) ratio and myocardial injury in patients with CKD (stage 5) who are undergoing maintenance HD and elucidate intradialytic changes of Hb levels in patients with CKD (stage 5) who are receiving maintenance HD</w:t>
      </w:r>
      <w:r w:rsidR="001D3A11" w:rsidRPr="007A53F9">
        <w:rPr>
          <w:rFonts w:asciiTheme="majorBidi" w:hAnsiTheme="majorBidi" w:cstheme="majorBidi"/>
          <w:sz w:val="24"/>
          <w:szCs w:val="24"/>
        </w:rPr>
        <w:t>.</w:t>
      </w:r>
      <w:r w:rsidRPr="007A53F9">
        <w:rPr>
          <w:rFonts w:asciiTheme="majorBidi" w:hAnsiTheme="majorBidi" w:cstheme="majorBidi"/>
          <w:sz w:val="24"/>
          <w:szCs w:val="24"/>
        </w:rPr>
        <w:t xml:space="preserve"> </w:t>
      </w:r>
      <w:r w:rsidRPr="007A53F9">
        <w:rPr>
          <w:rFonts w:asciiTheme="majorBidi" w:hAnsiTheme="majorBidi" w:cstheme="majorBidi"/>
          <w:b/>
          <w:bCs/>
          <w:sz w:val="24"/>
          <w:szCs w:val="24"/>
        </w:rPr>
        <w:t>Methods:</w:t>
      </w:r>
      <w:r w:rsidRPr="007A53F9">
        <w:rPr>
          <w:rFonts w:asciiTheme="majorBidi" w:hAnsiTheme="majorBidi" w:cstheme="majorBidi"/>
          <w:sz w:val="24"/>
          <w:szCs w:val="24"/>
        </w:rPr>
        <w:t xml:space="preserve"> </w:t>
      </w:r>
      <w:r w:rsidR="001D3A11" w:rsidRPr="007A53F9">
        <w:rPr>
          <w:rFonts w:asciiTheme="majorBidi" w:hAnsiTheme="majorBidi" w:cstheme="majorBidi"/>
          <w:sz w:val="24"/>
          <w:szCs w:val="24"/>
        </w:rPr>
        <w:t>This prospective study included 100 patients</w:t>
      </w:r>
      <w:r w:rsidR="00AE4AD0">
        <w:rPr>
          <w:rFonts w:asciiTheme="majorBidi" w:hAnsiTheme="majorBidi" w:cstheme="majorBidi"/>
          <w:sz w:val="24"/>
          <w:szCs w:val="24"/>
        </w:rPr>
        <w:t xml:space="preserve"> who </w:t>
      </w:r>
      <w:r w:rsidR="001D3A11" w:rsidRPr="007A53F9">
        <w:rPr>
          <w:rFonts w:asciiTheme="majorBidi" w:hAnsiTheme="majorBidi" w:cstheme="majorBidi"/>
          <w:sz w:val="24"/>
          <w:szCs w:val="24"/>
        </w:rPr>
        <w:t xml:space="preserve">were divided into four groups according to baseline Hb level (post-Hb/pre-Hb) ratio: Group 1 (n=30) with post-Hb/pre-Hb ratio &lt;1.0, group 2 (n=20) with post-Hb/pre-Hb ratio 1.0 to &lt;1.1, group 3 (n=20) with post-Hb/pre-Hb ratio 1.1 to &lt;1.2 and group 4 (n=30) with post-Hb/pre-Hb ratio ≥1.2. While 4 groups according to post HD Hb level: Group A (n=30) with post Hb level &lt;10 g/dL, group B (n=20) with post Hb level 10 g/dL to &lt; 11 g/dL, group C (n=20) with post Hb level 11 g/dL to &lt; 12 g/dL and group D (n=30) with post Hb level &gt;12 g/dL. </w:t>
      </w:r>
      <w:r w:rsidR="00F73676" w:rsidRPr="007A53F9">
        <w:rPr>
          <w:rFonts w:asciiTheme="majorBidi" w:hAnsiTheme="majorBidi" w:cstheme="majorBidi"/>
          <w:sz w:val="24"/>
          <w:szCs w:val="24"/>
        </w:rPr>
        <w:t xml:space="preserve"> </w:t>
      </w:r>
      <w:r w:rsidRPr="007A53F9">
        <w:rPr>
          <w:rFonts w:asciiTheme="majorBidi" w:hAnsiTheme="majorBidi" w:cstheme="majorBidi"/>
          <w:b/>
          <w:bCs/>
          <w:sz w:val="24"/>
          <w:szCs w:val="24"/>
        </w:rPr>
        <w:t>Results</w:t>
      </w:r>
      <w:r w:rsidRPr="007A53F9">
        <w:rPr>
          <w:rFonts w:asciiTheme="majorBidi" w:hAnsiTheme="majorBidi" w:cstheme="majorBidi"/>
          <w:sz w:val="24"/>
          <w:szCs w:val="24"/>
        </w:rPr>
        <w:t>:</w:t>
      </w:r>
      <w:r w:rsidR="001D3A11" w:rsidRPr="007A53F9">
        <w:rPr>
          <w:rFonts w:asciiTheme="majorBidi" w:hAnsiTheme="majorBidi" w:cstheme="majorBidi"/>
          <w:sz w:val="24"/>
          <w:szCs w:val="24"/>
        </w:rPr>
        <w:t xml:space="preserve"> </w:t>
      </w:r>
      <w:proofErr w:type="spellStart"/>
      <w:r w:rsidR="001D3A11" w:rsidRPr="007A53F9">
        <w:rPr>
          <w:rFonts w:asciiTheme="majorBidi" w:hAnsiTheme="majorBidi" w:cstheme="majorBidi"/>
          <w:sz w:val="24"/>
          <w:szCs w:val="24"/>
        </w:rPr>
        <w:t>hs-cTnT</w:t>
      </w:r>
      <w:proofErr w:type="spellEnd"/>
      <w:r w:rsidR="001D3A11" w:rsidRPr="007A53F9">
        <w:rPr>
          <w:rFonts w:asciiTheme="majorBidi" w:hAnsiTheme="majorBidi" w:cstheme="majorBidi"/>
          <w:sz w:val="24"/>
          <w:szCs w:val="24"/>
        </w:rPr>
        <w:t xml:space="preserve"> at a cut-off of 12 demonstrated the highest diagnostic accuracy, with the greatest AUC (0.808), balanced sensitivity (75%) and specificity (81.6%), and a high NPV (91.2%), making it a reliable tool for ruling out myocardial injury. </w:t>
      </w:r>
      <w:proofErr w:type="spellStart"/>
      <w:r w:rsidR="001D3A11" w:rsidRPr="007A53F9">
        <w:rPr>
          <w:rFonts w:asciiTheme="majorBidi" w:hAnsiTheme="majorBidi" w:cstheme="majorBidi"/>
          <w:sz w:val="24"/>
          <w:szCs w:val="24"/>
        </w:rPr>
        <w:t>hs-cTnI</w:t>
      </w:r>
      <w:proofErr w:type="spellEnd"/>
      <w:r w:rsidR="001D3A11" w:rsidRPr="007A53F9">
        <w:rPr>
          <w:rFonts w:asciiTheme="majorBidi" w:hAnsiTheme="majorBidi" w:cstheme="majorBidi"/>
          <w:sz w:val="24"/>
          <w:szCs w:val="24"/>
        </w:rPr>
        <w:t xml:space="preserve"> at a cut-off of 8.9 showed a slightly lower AUC (0.796) and specificity (78.9%), with comparable sensitivity (75%) and NPV (90.9%), suggesting it is also effective, though slightly less so than </w:t>
      </w:r>
      <w:proofErr w:type="spellStart"/>
      <w:r w:rsidR="001D3A11" w:rsidRPr="007A53F9">
        <w:rPr>
          <w:rFonts w:asciiTheme="majorBidi" w:hAnsiTheme="majorBidi" w:cstheme="majorBidi"/>
          <w:sz w:val="24"/>
          <w:szCs w:val="24"/>
        </w:rPr>
        <w:t>hs-cTnT</w:t>
      </w:r>
      <w:proofErr w:type="spellEnd"/>
      <w:r w:rsidR="001D3A11" w:rsidRPr="007A53F9">
        <w:rPr>
          <w:rFonts w:asciiTheme="majorBidi" w:hAnsiTheme="majorBidi" w:cstheme="majorBidi"/>
          <w:sz w:val="24"/>
          <w:szCs w:val="24"/>
        </w:rPr>
        <w:t xml:space="preserve">. </w:t>
      </w:r>
      <w:r w:rsidRPr="007A53F9">
        <w:rPr>
          <w:rFonts w:asciiTheme="majorBidi" w:hAnsiTheme="majorBidi" w:cstheme="majorBidi"/>
          <w:b/>
          <w:bCs/>
          <w:sz w:val="24"/>
          <w:szCs w:val="24"/>
        </w:rPr>
        <w:t>Conclusion:</w:t>
      </w:r>
      <w:r w:rsidR="009F7C0D" w:rsidRPr="007A53F9">
        <w:rPr>
          <w:rFonts w:asciiTheme="majorBidi" w:hAnsiTheme="majorBidi" w:cstheme="majorBidi"/>
          <w:sz w:val="24"/>
          <w:szCs w:val="24"/>
          <w:vertAlign w:val="superscript"/>
        </w:rPr>
        <w:t xml:space="preserve"> </w:t>
      </w:r>
      <w:r w:rsidR="001D3A11" w:rsidRPr="007A53F9">
        <w:rPr>
          <w:rFonts w:asciiTheme="majorBidi" w:hAnsiTheme="majorBidi" w:cstheme="majorBidi"/>
          <w:sz w:val="24"/>
          <w:szCs w:val="24"/>
        </w:rPr>
        <w:t xml:space="preserve">The asymptomatic raising of </w:t>
      </w:r>
      <w:proofErr w:type="spellStart"/>
      <w:r w:rsidR="001D3A11" w:rsidRPr="007A53F9">
        <w:rPr>
          <w:rFonts w:asciiTheme="majorBidi" w:hAnsiTheme="majorBidi" w:cstheme="majorBidi"/>
          <w:sz w:val="24"/>
          <w:szCs w:val="24"/>
        </w:rPr>
        <w:t>hscTni</w:t>
      </w:r>
      <w:proofErr w:type="spellEnd"/>
      <w:r w:rsidR="001D3A11" w:rsidRPr="007A53F9">
        <w:rPr>
          <w:rFonts w:asciiTheme="majorBidi" w:hAnsiTheme="majorBidi" w:cstheme="majorBidi"/>
          <w:sz w:val="24"/>
          <w:szCs w:val="24"/>
        </w:rPr>
        <w:t xml:space="preserve">, </w:t>
      </w:r>
      <w:proofErr w:type="spellStart"/>
      <w:r w:rsidR="001D3A11" w:rsidRPr="007A53F9">
        <w:rPr>
          <w:rFonts w:asciiTheme="majorBidi" w:hAnsiTheme="majorBidi" w:cstheme="majorBidi"/>
          <w:sz w:val="24"/>
          <w:szCs w:val="24"/>
        </w:rPr>
        <w:t>hscTnt</w:t>
      </w:r>
      <w:proofErr w:type="spellEnd"/>
      <w:r w:rsidR="001D3A11" w:rsidRPr="007A53F9">
        <w:rPr>
          <w:rFonts w:asciiTheme="majorBidi" w:hAnsiTheme="majorBidi" w:cstheme="majorBidi"/>
          <w:sz w:val="24"/>
          <w:szCs w:val="24"/>
        </w:rPr>
        <w:t xml:space="preserve"> and </w:t>
      </w:r>
      <w:proofErr w:type="spellStart"/>
      <w:r w:rsidR="001D3A11" w:rsidRPr="007A53F9">
        <w:rPr>
          <w:rFonts w:asciiTheme="majorBidi" w:hAnsiTheme="majorBidi" w:cstheme="majorBidi"/>
          <w:sz w:val="24"/>
          <w:szCs w:val="24"/>
        </w:rPr>
        <w:t>ckmb</w:t>
      </w:r>
      <w:proofErr w:type="spellEnd"/>
      <w:r w:rsidR="001D3A11" w:rsidRPr="007A53F9">
        <w:rPr>
          <w:rFonts w:asciiTheme="majorBidi" w:hAnsiTheme="majorBidi" w:cstheme="majorBidi"/>
          <w:sz w:val="24"/>
          <w:szCs w:val="24"/>
        </w:rPr>
        <w:t xml:space="preserve"> represent </w:t>
      </w:r>
      <w:proofErr w:type="spellStart"/>
      <w:r w:rsidR="001D3A11" w:rsidRPr="007A53F9">
        <w:rPr>
          <w:rFonts w:asciiTheme="majorBidi" w:hAnsiTheme="majorBidi" w:cstheme="majorBidi"/>
          <w:sz w:val="24"/>
          <w:szCs w:val="24"/>
        </w:rPr>
        <w:t>silient</w:t>
      </w:r>
      <w:proofErr w:type="spellEnd"/>
      <w:r w:rsidR="001D3A11" w:rsidRPr="007A53F9">
        <w:rPr>
          <w:rFonts w:asciiTheme="majorBidi" w:hAnsiTheme="majorBidi" w:cstheme="majorBidi"/>
          <w:sz w:val="24"/>
          <w:szCs w:val="24"/>
        </w:rPr>
        <w:t xml:space="preserve"> myocardial injury during HD.</w:t>
      </w:r>
      <w:r w:rsidR="001D3A11" w:rsidRPr="001D3A11">
        <w:rPr>
          <w:rFonts w:asciiTheme="majorBidi" w:hAnsiTheme="majorBidi" w:cstheme="majorBidi"/>
          <w:sz w:val="24"/>
          <w:szCs w:val="24"/>
        </w:rPr>
        <w:t xml:space="preserve"> </w:t>
      </w:r>
    </w:p>
    <w:p w14:paraId="2E2A3B2D" w14:textId="6954D8B2" w:rsidR="000A7323" w:rsidRPr="007318EA" w:rsidRDefault="00B72928" w:rsidP="000A7323">
      <w:pPr>
        <w:jc w:val="both"/>
        <w:rPr>
          <w:rFonts w:asciiTheme="majorBidi" w:hAnsiTheme="majorBidi" w:cstheme="majorBidi"/>
          <w:sz w:val="24"/>
          <w:szCs w:val="24"/>
          <w:rtl/>
        </w:rPr>
      </w:pPr>
      <w:r w:rsidRPr="00096CE7">
        <w:rPr>
          <w:rFonts w:asciiTheme="majorBidi" w:hAnsiTheme="majorBidi" w:cstheme="majorBidi"/>
          <w:b/>
          <w:bCs/>
          <w:sz w:val="24"/>
          <w:szCs w:val="24"/>
        </w:rPr>
        <w:t>Keywords:</w:t>
      </w:r>
      <w:r w:rsidR="00096CE7" w:rsidRPr="00096CE7">
        <w:rPr>
          <w:rFonts w:asciiTheme="majorBidi" w:hAnsiTheme="majorBidi" w:cstheme="majorBidi"/>
          <w:sz w:val="24"/>
          <w:szCs w:val="24"/>
        </w:rPr>
        <w:t xml:space="preserve"> </w:t>
      </w:r>
      <w:r w:rsidR="00E74113" w:rsidRPr="007318EA">
        <w:rPr>
          <w:rFonts w:asciiTheme="majorBidi" w:hAnsiTheme="majorBidi" w:cstheme="majorBidi"/>
          <w:sz w:val="24"/>
          <w:szCs w:val="24"/>
        </w:rPr>
        <w:t xml:space="preserve">Cardiac Biomarkers, Cardiovascular Outcomes, ΔHB, </w:t>
      </w:r>
      <w:r w:rsidR="000A7323" w:rsidRPr="007318EA">
        <w:rPr>
          <w:rFonts w:asciiTheme="majorBidi" w:hAnsiTheme="majorBidi" w:cstheme="majorBidi"/>
          <w:sz w:val="24"/>
          <w:szCs w:val="24"/>
        </w:rPr>
        <w:t>Hemodialysis</w:t>
      </w:r>
      <w:r w:rsidR="00E74113" w:rsidRPr="007318EA">
        <w:rPr>
          <w:rFonts w:asciiTheme="majorBidi" w:hAnsiTheme="majorBidi" w:cstheme="majorBidi"/>
          <w:sz w:val="24"/>
          <w:szCs w:val="24"/>
        </w:rPr>
        <w:t>, Hemoglobin Changes</w:t>
      </w:r>
    </w:p>
    <w:p w14:paraId="2AF99A58" w14:textId="43BFBFB4" w:rsidR="0080458C" w:rsidRPr="00DC0241" w:rsidRDefault="0080458C" w:rsidP="000A7323">
      <w:pPr>
        <w:jc w:val="both"/>
        <w:rPr>
          <w:rFonts w:asciiTheme="majorBidi" w:hAnsiTheme="majorBidi" w:cstheme="majorBidi"/>
          <w:b/>
          <w:bCs/>
          <w:sz w:val="24"/>
          <w:szCs w:val="24"/>
          <w:u w:val="single"/>
        </w:rPr>
      </w:pPr>
      <w:r w:rsidRPr="007318EA">
        <w:rPr>
          <w:rFonts w:asciiTheme="majorBidi" w:hAnsiTheme="majorBidi" w:cstheme="majorBidi"/>
          <w:b/>
          <w:bCs/>
          <w:sz w:val="24"/>
          <w:szCs w:val="24"/>
          <w:u w:val="single"/>
        </w:rPr>
        <w:t>Introduction</w:t>
      </w:r>
    </w:p>
    <w:p w14:paraId="211E5A6A" w14:textId="2E18E150" w:rsidR="00DC0241" w:rsidRPr="00F91F1C" w:rsidRDefault="00E7026A" w:rsidP="00C933B2">
      <w:pPr>
        <w:pStyle w:val="P"/>
      </w:pPr>
      <w:r w:rsidRPr="00E7026A">
        <w:t>The objective of hemodialysis (HD) is to eliminate debris, uremic toxins, and fluid from the blood through ultrafiltration and diffusion.  Typically, ultrafiltration is employed to remove fluids in order to attain a clinical "dry weight."  A global increase in the number of patients with HD has been observed.  Patients with HD are at a greater risk of developing acute myocardial infarction than the general population.  One of the primary obstacles faced by patients undergoing HD is the removal of fluid</w:t>
      </w:r>
      <w:r w:rsidR="00296BF6">
        <w:t xml:space="preserve"> .</w:t>
      </w:r>
      <w:r w:rsidR="00296BF6" w:rsidRPr="00296BF6">
        <w:t>Previous research on fluid removal in HD patients has noted an association between an interdialytic weight loss exceeding 5.7% of the post-dialytic body weight and an increased mortality rate</w:t>
      </w:r>
      <w:r w:rsidR="00A12153">
        <w:t xml:space="preserve"> </w:t>
      </w:r>
      <w:r w:rsidR="00A12153" w:rsidRPr="00B961E1">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B961E1">
        <w:rPr>
          <w:vertAlign w:val="superscript"/>
        </w:rPr>
        <w:instrText xml:space="preserve"> ADDIN EN.CITE </w:instrText>
      </w:r>
      <w:r w:rsidR="007C3A5C" w:rsidRPr="00B961E1">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B961E1">
        <w:rPr>
          <w:vertAlign w:val="superscript"/>
        </w:rPr>
        <w:instrText xml:space="preserve"> ADDIN EN.CITE.DATA </w:instrText>
      </w:r>
      <w:r w:rsidR="007C3A5C" w:rsidRPr="00B961E1">
        <w:rPr>
          <w:vertAlign w:val="superscript"/>
        </w:rPr>
      </w:r>
      <w:r w:rsidR="007C3A5C" w:rsidRPr="00B961E1">
        <w:rPr>
          <w:vertAlign w:val="superscript"/>
        </w:rPr>
        <w:fldChar w:fldCharType="end"/>
      </w:r>
      <w:r w:rsidR="00A12153" w:rsidRPr="00B961E1">
        <w:rPr>
          <w:vertAlign w:val="superscript"/>
        </w:rPr>
      </w:r>
      <w:r w:rsidR="00A12153" w:rsidRPr="00B961E1">
        <w:rPr>
          <w:vertAlign w:val="superscript"/>
        </w:rPr>
        <w:fldChar w:fldCharType="separate"/>
      </w:r>
      <w:r w:rsidR="00A12153" w:rsidRPr="00B961E1">
        <w:rPr>
          <w:noProof/>
          <w:vertAlign w:val="superscript"/>
        </w:rPr>
        <w:t>(1)</w:t>
      </w:r>
      <w:r w:rsidR="00A12153" w:rsidRPr="00B961E1">
        <w:rPr>
          <w:vertAlign w:val="superscript"/>
        </w:rPr>
        <w:fldChar w:fldCharType="end"/>
      </w:r>
      <w:r w:rsidR="00DC0241" w:rsidRPr="00F91F1C">
        <w:t>.</w:t>
      </w:r>
      <w:r w:rsidR="00A44ACA">
        <w:t xml:space="preserve"> </w:t>
      </w:r>
      <w:r w:rsidR="00AD6277" w:rsidRPr="00AD6277">
        <w:t>Additionally, mortality is elevated when the ultrafiltration rate exceeds 10 mL/kg/h</w:t>
      </w:r>
      <w:r w:rsidR="00AD6277">
        <w:t xml:space="preserve"> </w:t>
      </w:r>
      <w:r w:rsidR="00A06FBA" w:rsidRPr="00F91F1C">
        <w:t xml:space="preserve"> </w:t>
      </w:r>
      <w:r w:rsidR="00A06FBA" w:rsidRPr="00B961E1">
        <w:rPr>
          <w:vertAlign w:val="superscript"/>
        </w:rPr>
        <w:fldChar w:fldCharType="begin"/>
      </w:r>
      <w:r w:rsidR="007C3A5C" w:rsidRPr="00B961E1">
        <w:rPr>
          <w:vertAlign w:val="superscript"/>
        </w:rPr>
        <w:instrText xml:space="preserve"> ADDIN EN.CITE &lt;EndNote&gt;&lt;Cite&gt;&lt;Author&gt;Assimon&lt;/Author&gt;&lt;Year&gt;2018&lt;/Year&gt;&lt;RecNum&gt;2&lt;/RecNum&gt;&lt;DisplayText&gt;(2)&lt;/DisplayText&gt;&lt;record&gt;&lt;rec-number&gt;2&lt;/rec-number&gt;&lt;foreign-keys&gt;&lt;key app="EN" db-id="xzrd9vwasasfetevdw650faezp0zp0wddw95" timestamp="1753101994"&gt;2&lt;/key&gt;&lt;/foreign-keys&gt;&lt;ref-type name="Journal Article"&gt;17&lt;/ref-type&gt;&lt;contributors&gt;&lt;authors&gt;&lt;author&gt;Assimon, Magdalene M&lt;/author&gt;&lt;author&gt;Wang, Lily&lt;/author&gt;&lt;author&gt;Flythe, Jennifer E&lt;/author&gt;&lt;/authors&gt;&lt;/contributors&gt;&lt;titles&gt;&lt;title&gt;Intradialytic hypertension frequency and short-term clinical outcomes among individuals receiving maintenance hemodialysis&lt;/title&gt;&lt;secondary-title&gt;Am J Hypertens&lt;/secondary-title&gt;&lt;/titles&gt;&lt;periodical&gt;&lt;full-title&gt;Am J Hypertens&lt;/full-title&gt;&lt;/periodical&gt;&lt;pages&gt;329-339&lt;/pages&gt;&lt;volume&gt;31&lt;/volume&gt;&lt;number&gt;3&lt;/number&gt;&lt;dates&gt;&lt;year&gt;2018&lt;/year&gt;&lt;/dates&gt;&lt;isbn&gt;0895-7061&lt;/isbn&gt;&lt;urls&gt;&lt;/urls&gt;&lt;/record&gt;&lt;/Cite&gt;&lt;/EndNote&gt;</w:instrText>
      </w:r>
      <w:r w:rsidR="00A06FBA" w:rsidRPr="00B961E1">
        <w:rPr>
          <w:vertAlign w:val="superscript"/>
        </w:rPr>
        <w:fldChar w:fldCharType="separate"/>
      </w:r>
      <w:r w:rsidR="00A12153" w:rsidRPr="00B961E1">
        <w:rPr>
          <w:noProof/>
          <w:vertAlign w:val="superscript"/>
        </w:rPr>
        <w:t>(2)</w:t>
      </w:r>
      <w:r w:rsidR="00A06FBA" w:rsidRPr="00B961E1">
        <w:rPr>
          <w:vertAlign w:val="superscript"/>
        </w:rPr>
        <w:fldChar w:fldCharType="end"/>
      </w:r>
      <w:r w:rsidR="00A06FBA" w:rsidRPr="00F91F1C">
        <w:t>.</w:t>
      </w:r>
    </w:p>
    <w:p w14:paraId="013F9968" w14:textId="22D25E7E" w:rsidR="00DC0241" w:rsidRPr="00DC0241" w:rsidRDefault="00296BF6" w:rsidP="00616470">
      <w:pPr>
        <w:pStyle w:val="P"/>
      </w:pPr>
      <w:r w:rsidRPr="00296BF6">
        <w:t>As indicated by a recent statement from the Chief Medical Officers of US dialysis facilities, adequate fluid management is one of the most critical unresolved issues for contemporary HD patients worldwide.   Furthermore, this statement contributes to the concept of "volume first," which denotes the primary goal of dialysis care as volume control</w:t>
      </w:r>
      <w:r w:rsidR="00A06FBA" w:rsidRPr="00B961E1">
        <w:rPr>
          <w:vertAlign w:val="superscript"/>
        </w:rPr>
        <w:fldChar w:fldCharType="begin"/>
      </w:r>
      <w:r w:rsidR="007C3A5C" w:rsidRPr="00B961E1">
        <w:rPr>
          <w:vertAlign w:val="superscript"/>
        </w:rPr>
        <w:instrText xml:space="preserve"> ADDIN EN.CITE &lt;EndNote&gt;&lt;Cite&gt;&lt;Author&gt;Weiner&lt;/Author&gt;&lt;Year&gt;2014&lt;/Year&gt;&lt;RecNum&gt;3&lt;/RecNum&gt;&lt;DisplayText&gt;(3)&lt;/DisplayText&gt;&lt;record&gt;&lt;rec-number&gt;3&lt;/rec-number&gt;&lt;foreign-keys&gt;&lt;key app="EN" db-id="xzrd9vwasasfetevdw650faezp0zp0wddw95" timestamp="1753101994"&gt;3&lt;/key&gt;&lt;/foreign-keys&gt;&lt;ref-type name="Journal Article"&gt;17&lt;/ref-type&gt;&lt;contributors&gt;&lt;authors&gt;&lt;author&gt;Weiner, Daniel E&lt;/author&gt;&lt;author&gt;Brunelli, Steven M&lt;/author&gt;&lt;author&gt;Hunt, Abigail&lt;/author&gt;&lt;author&gt;Schiller, Brigitte&lt;/author&gt;&lt;author&gt;Glassock, Richard&lt;/author&gt;&lt;author&gt;Maddux, Frank W&lt;/author&gt;&lt;author&gt;Johnson, Douglas&lt;/author&gt;&lt;author&gt;Parker, Tom&lt;/author&gt;&lt;author&gt;Nissenson, Allen&lt;/author&gt;&lt;/authors&gt;&lt;/contributors&gt;&lt;titles&gt;&lt;title&gt;Improving clinical outcomes among hemodialysis patients: a proposal for a “volume first” approach from the chief medical officers of US dialysis providers&lt;/title&gt;&lt;secondary-title&gt;Am J Kidney Dis&lt;/secondary-title&gt;&lt;/titles&gt;&lt;periodical&gt;&lt;full-title&gt;Am J Kidney Dis&lt;/full-title&gt;&lt;/periodical&gt;&lt;pages&gt;685-695&lt;/pages&gt;&lt;volume&gt;64&lt;/volume&gt;&lt;number&gt;5&lt;/number&gt;&lt;dates&gt;&lt;year&gt;2014&lt;/year&gt;&lt;/dates&gt;&lt;isbn&gt;0272-6386&lt;/isbn&gt;&lt;urls&gt;&lt;/urls&gt;&lt;/record&gt;&lt;/Cite&gt;&lt;/EndNote&gt;</w:instrText>
      </w:r>
      <w:r w:rsidR="00A06FBA" w:rsidRPr="00B961E1">
        <w:rPr>
          <w:vertAlign w:val="superscript"/>
        </w:rPr>
        <w:fldChar w:fldCharType="separate"/>
      </w:r>
      <w:r w:rsidR="00A12153" w:rsidRPr="00B961E1">
        <w:rPr>
          <w:noProof/>
          <w:vertAlign w:val="superscript"/>
        </w:rPr>
        <w:t>(3)</w:t>
      </w:r>
      <w:r w:rsidR="00A06FBA" w:rsidRPr="00B961E1">
        <w:rPr>
          <w:vertAlign w:val="superscript"/>
        </w:rPr>
        <w:fldChar w:fldCharType="end"/>
      </w:r>
      <w:r w:rsidR="00A06FBA">
        <w:t xml:space="preserve">. </w:t>
      </w:r>
      <w:r w:rsidRPr="00296BF6">
        <w:t xml:space="preserve">In addition, the removal of fluid results in hemoconcentration, which in turn increases the concentration of </w:t>
      </w:r>
      <w:r w:rsidRPr="00296BF6">
        <w:lastRenderedPageBreak/>
        <w:t xml:space="preserve">hemoglobin (Hb) following HD.   Each 1 L of ultrafiltration led to an approximate 0.4 g/dL increase in Hb concentration </w:t>
      </w:r>
      <w:r w:rsidR="00D37427" w:rsidRPr="00B961E1">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B961E1">
        <w:rPr>
          <w:vertAlign w:val="superscript"/>
        </w:rPr>
        <w:instrText xml:space="preserve"> ADDIN EN.CITE </w:instrText>
      </w:r>
      <w:r w:rsidR="007C3A5C" w:rsidRPr="00B961E1">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B961E1">
        <w:rPr>
          <w:vertAlign w:val="superscript"/>
        </w:rPr>
        <w:instrText xml:space="preserve"> ADDIN EN.CITE.DATA </w:instrText>
      </w:r>
      <w:r w:rsidR="007C3A5C" w:rsidRPr="00B961E1">
        <w:rPr>
          <w:vertAlign w:val="superscript"/>
        </w:rPr>
      </w:r>
      <w:r w:rsidR="007C3A5C" w:rsidRPr="00B961E1">
        <w:rPr>
          <w:vertAlign w:val="superscript"/>
        </w:rPr>
        <w:fldChar w:fldCharType="end"/>
      </w:r>
      <w:r w:rsidR="00D37427" w:rsidRPr="00B961E1">
        <w:rPr>
          <w:vertAlign w:val="superscript"/>
        </w:rPr>
      </w:r>
      <w:r w:rsidR="00D37427" w:rsidRPr="00B961E1">
        <w:rPr>
          <w:vertAlign w:val="superscript"/>
        </w:rPr>
        <w:fldChar w:fldCharType="separate"/>
      </w:r>
      <w:r w:rsidR="00A12153" w:rsidRPr="00B961E1">
        <w:rPr>
          <w:noProof/>
          <w:vertAlign w:val="superscript"/>
        </w:rPr>
        <w:t>(1)</w:t>
      </w:r>
      <w:r w:rsidR="00D37427" w:rsidRPr="00B961E1">
        <w:rPr>
          <w:vertAlign w:val="superscript"/>
        </w:rPr>
        <w:fldChar w:fldCharType="end"/>
      </w:r>
      <w:r w:rsidR="00D37427">
        <w:t>.</w:t>
      </w:r>
      <w:r w:rsidR="00C933B2">
        <w:t xml:space="preserve"> </w:t>
      </w:r>
      <w:r w:rsidR="00665A4C" w:rsidRPr="00665A4C">
        <w:t>Some patients experience a significant increase in Hb concentration after fluid removal, while others do not. In the event of an elevated Hb concentration, the ultrafiltration volume exceeds the replenishment volume from the interstitial spaces into the vascular space. However, when the ultrafiltration volume significantly exceeds the replenishment volume, it results in intravascular volume depletion and potentially intradialytic morbid events, such as intradialytic hypotension and muscle cramping.  Risk factors for cardiovascular events are acknowledged in each of these incidents</w:t>
      </w:r>
      <w:r w:rsidR="00D37427">
        <w:t xml:space="preserve"> </w:t>
      </w:r>
      <w:r w:rsidR="00D37427" w:rsidRPr="00B961E1">
        <w:rPr>
          <w:vertAlign w:val="superscript"/>
        </w:rPr>
        <w:fldChar w:fldCharType="begin"/>
      </w:r>
      <w:r w:rsidR="007C3A5C" w:rsidRPr="00B961E1">
        <w:rPr>
          <w:vertAlign w:val="superscript"/>
        </w:rPr>
        <w:instrText xml:space="preserve"> ADDIN EN.CITE &lt;EndNote&gt;&lt;Cite&gt;&lt;Author&gt;MacEwen&lt;/Author&gt;&lt;Year&gt;2017&lt;/Year&gt;&lt;RecNum&gt;4&lt;/RecNum&gt;&lt;DisplayText&gt;(4)&lt;/DisplayText&gt;&lt;record&gt;&lt;rec-number&gt;4&lt;/rec-number&gt;&lt;foreign-keys&gt;&lt;key app="EN" db-id="xzrd9vwasasfetevdw650faezp0zp0wddw95" timestamp="1753101994"&gt;4&lt;/key&gt;&lt;/foreign-keys&gt;&lt;ref-type name="Journal Article"&gt;17&lt;/ref-type&gt;&lt;contributors&gt;&lt;authors&gt;&lt;author&gt;MacEwen, Clare&lt;/author&gt;&lt;author&gt;Sutherland, Sheera&lt;/author&gt;&lt;author&gt;Daly, Jonathan&lt;/author&gt;&lt;author&gt;Pugh, Christopher&lt;/author&gt;&lt;author&gt;Tarassenko, Lionel&lt;/author&gt;&lt;/authors&gt;&lt;/contributors&gt;&lt;titles&gt;&lt;title&gt;Relationship between hypotension and cerebral ischemia during hemodialysis&lt;/title&gt;&lt;secondary-title&gt;J Am Soc Nephrol &lt;/secondary-title&gt;&lt;/titles&gt;&lt;pages&gt;2511-2520&lt;/pages&gt;&lt;volume&gt;28&lt;/volume&gt;&lt;number&gt;8&lt;/number&gt;&lt;dates&gt;&lt;year&gt;2017&lt;/year&gt;&lt;/dates&gt;&lt;isbn&gt;1046-6673&lt;/isbn&gt;&lt;urls&gt;&lt;/urls&gt;&lt;/record&gt;&lt;/Cite&gt;&lt;/EndNote&gt;</w:instrText>
      </w:r>
      <w:r w:rsidR="00D37427" w:rsidRPr="00B961E1">
        <w:rPr>
          <w:vertAlign w:val="superscript"/>
        </w:rPr>
        <w:fldChar w:fldCharType="separate"/>
      </w:r>
      <w:r w:rsidR="00A12153" w:rsidRPr="00B961E1">
        <w:rPr>
          <w:noProof/>
          <w:vertAlign w:val="superscript"/>
        </w:rPr>
        <w:t>(4)</w:t>
      </w:r>
      <w:r w:rsidR="00D37427" w:rsidRPr="00B961E1">
        <w:rPr>
          <w:vertAlign w:val="superscript"/>
        </w:rPr>
        <w:fldChar w:fldCharType="end"/>
      </w:r>
      <w:r w:rsidR="00D37427">
        <w:t>.</w:t>
      </w:r>
    </w:p>
    <w:p w14:paraId="3CEC3D97" w14:textId="4B16D336" w:rsidR="00DC0241" w:rsidRPr="00DC0241" w:rsidRDefault="00665A4C" w:rsidP="00F91F1C">
      <w:pPr>
        <w:pStyle w:val="P"/>
        <w:rPr>
          <w:rFonts w:eastAsia="Times New Roman"/>
          <w:b/>
          <w:bCs/>
          <w:noProof/>
        </w:rPr>
      </w:pPr>
      <w:r w:rsidRPr="00665A4C">
        <w:t>In past, the Hb level prior to HD was frequently used as an indicator for the treatment of renal anemia in patients who were undergoing HD.  It is also incorporated into the majority of clinical research studies and guidelines</w:t>
      </w:r>
      <w:r>
        <w:t xml:space="preserve"> </w:t>
      </w:r>
      <w:r w:rsidR="00D37427" w:rsidRPr="00DE46B5">
        <w:rPr>
          <w:vertAlign w:val="superscript"/>
        </w:rPr>
        <w:fldChar w:fldCharType="begin"/>
      </w:r>
      <w:r w:rsidR="007C3A5C" w:rsidRPr="00DE46B5">
        <w:rPr>
          <w:vertAlign w:val="superscript"/>
        </w:rPr>
        <w:instrText xml:space="preserve"> ADDIN EN.CITE &lt;EndNote&gt;&lt;Cite&gt;&lt;Author&gt;Yamamoto&lt;/Author&gt;&lt;Year&gt;2017&lt;/Year&gt;&lt;RecNum&gt;5&lt;/RecNum&gt;&lt;DisplayText&gt;(5)&lt;/DisplayText&gt;&lt;record&gt;&lt;rec-number&gt;5&lt;/rec-number&gt;&lt;foreign-keys&gt;&lt;key app="EN" db-id="xzrd9vwasasfetevdw650faezp0zp0wddw95" timestamp="1753101994"&gt;5&lt;/key&gt;&lt;/foreign-keys&gt;&lt;ref-type name="Journal Article"&gt;17&lt;/ref-type&gt;&lt;contributors&gt;&lt;authors&gt;&lt;author&gt;Yamamoto, Hiroyasu&lt;/author&gt;&lt;author&gt;Nishi, Shinichi&lt;/author&gt;&lt;author&gt;Tomo, Tadashi&lt;/author&gt;&lt;author&gt;Masakane, Ikuto&lt;/author&gt;&lt;author&gt;Saito, Kazuhide&lt;/author&gt;&lt;author&gt;Nangaku, Masaomi&lt;/author&gt;&lt;author&gt;Hattori, Motoshi&lt;/author&gt;&lt;author&gt;Suzuki, Takahiro&lt;/author&gt;&lt;author&gt;Morita, Satoshi&lt;/author&gt;&lt;author&gt;Ashida, Akira&lt;/author&gt;&lt;author&gt;Ito, Yasuhiko&lt;/author&gt;&lt;author&gt;Kuragano, Takahiro&lt;/author&gt;&lt;author&gt;Komatsu, Yasuhiro&lt;/author&gt;&lt;author&gt;Sakai, Ken&lt;/author&gt;&lt;author&gt;Tsubakihara, Yoshiharu&lt;/author&gt;&lt;author&gt;Tsuruya, Kazuhiko&lt;/author&gt;&lt;author&gt;Hayashi, Terumasa&lt;/author&gt;&lt;author&gt;Hirakata, Hideki&lt;/author&gt;&lt;author&gt;Honda, Hirokazu&lt;/author&gt;&lt;/authors&gt;&lt;/contributors&gt;&lt;titles&gt;&lt;title&gt;2015 Japanese Society for Dialysis Therapy: Guidelines for Renal Anemia in Chronic Kidney Disease&lt;/title&gt;&lt;secondary-title&gt;Ren Replace Ther&lt;/secondary-title&gt;&lt;/titles&gt;&lt;periodical&gt;&lt;full-title&gt;Ren Replace Ther&lt;/full-title&gt;&lt;/periodical&gt;&lt;pages&gt;36-44&lt;/pages&gt;&lt;volume&gt;3&lt;/volume&gt;&lt;number&gt;1&lt;/number&gt;&lt;dates&gt;&lt;year&gt;2017&lt;/year&gt;&lt;pub-dates&gt;&lt;date&gt;2017/06/08&lt;/date&gt;&lt;/pub-dates&gt;&lt;/dates&gt;&lt;isbn&gt;2059-1381&lt;/isbn&gt;&lt;urls&gt;&lt;related-urls&gt;&lt;url&gt;https://doi.org/10.1186/s41100-017-0114-y&lt;/url&gt;&lt;/related-urls&gt;&lt;/urls&gt;&lt;electronic-resource-num&gt;10.1186/s41100-017-0114-y&lt;/electronic-resource-num&gt;&lt;/record&gt;&lt;/Cite&gt;&lt;/EndNote&gt;</w:instrText>
      </w:r>
      <w:r w:rsidR="00D37427" w:rsidRPr="00DE46B5">
        <w:rPr>
          <w:vertAlign w:val="superscript"/>
        </w:rPr>
        <w:fldChar w:fldCharType="separate"/>
      </w:r>
      <w:r w:rsidR="00A12153" w:rsidRPr="00DE46B5">
        <w:rPr>
          <w:noProof/>
          <w:vertAlign w:val="superscript"/>
        </w:rPr>
        <w:t>(5)</w:t>
      </w:r>
      <w:r w:rsidR="00D37427" w:rsidRPr="00DE46B5">
        <w:rPr>
          <w:vertAlign w:val="superscript"/>
        </w:rPr>
        <w:fldChar w:fldCharType="end"/>
      </w:r>
      <w:r w:rsidR="00D37427">
        <w:t>.</w:t>
      </w:r>
      <w:r w:rsidR="00F91F1C">
        <w:t xml:space="preserve"> </w:t>
      </w:r>
      <w:r w:rsidRPr="00665A4C">
        <w:t xml:space="preserve">The ratio of post-HD Hb (Post-HD-Hb) to pre-HD Hb (pre-HD-Hb) can be ascertained by measuring post-HD Hb levels and analyzing its correlation with cardiovascular events. This discovery was recently made </w:t>
      </w:r>
      <w:r w:rsidR="00353FAD" w:rsidRPr="00DE46B5">
        <w:rPr>
          <w:vertAlign w:val="superscript"/>
        </w:rPr>
        <w:fldChar w:fldCharType="begin"/>
      </w:r>
      <w:r w:rsidR="007C3A5C" w:rsidRPr="00DE46B5">
        <w:rPr>
          <w:vertAlign w:val="superscript"/>
        </w:rPr>
        <w:instrText xml:space="preserve"> ADDIN EN.CITE &lt;EndNote&gt;&lt;Cite&gt;&lt;Author&gt;Nishiwaki&lt;/Author&gt;&lt;Year&gt;2018&lt;/Year&gt;&lt;RecNum&gt;6&lt;/RecNum&gt;&lt;DisplayText&gt;(6)&lt;/DisplayText&gt;&lt;record&gt;&lt;rec-number&gt;6&lt;/rec-number&gt;&lt;foreign-keys&gt;&lt;key app="EN" db-id="xzrd9vwasasfetevdw650faezp0zp0wddw95" timestamp="1753101994"&gt;6&lt;/key&gt;&lt;/foreign-keys&gt;&lt;ref-type name="Journal Article"&gt;17&lt;/ref-type&gt;&lt;contributors&gt;&lt;authors&gt;&lt;author&gt;Nishiwaki, Hiroki&lt;/author&gt;&lt;author&gt;Fukuma, Shingo&lt;/author&gt;&lt;author&gt;Hasegawa, Takeshi&lt;/author&gt;&lt;author&gt;Kimachi, Miho&lt;/author&gt;&lt;author&gt;Akizawa, Tadao&lt;/author&gt;&lt;author&gt;Fukuhara, Shunichi&lt;/author&gt;&lt;/authors&gt;&lt;/contributors&gt;&lt;titles&gt;&lt;title&gt;Dialysis‐related practice patterns among hemodialysis patients with cancer&lt;/title&gt;&lt;secondary-title&gt;Health Sci Rep&lt;/secondary-title&gt;&lt;/titles&gt;&lt;periodical&gt;&lt;full-title&gt;Health Sci Rep&lt;/full-title&gt;&lt;/periodical&gt;&lt;pages&gt;46-52&lt;/pages&gt;&lt;volume&gt;1&lt;/volume&gt;&lt;number&gt;7&lt;/number&gt;&lt;dates&gt;&lt;year&gt;2018&lt;/year&gt;&lt;/dates&gt;&lt;isbn&gt;2398-8835&lt;/isbn&gt;&lt;urls&gt;&lt;/urls&gt;&lt;/record&gt;&lt;/Cite&gt;&lt;/EndNote&gt;</w:instrText>
      </w:r>
      <w:r w:rsidR="00353FAD" w:rsidRPr="00DE46B5">
        <w:rPr>
          <w:vertAlign w:val="superscript"/>
        </w:rPr>
        <w:fldChar w:fldCharType="separate"/>
      </w:r>
      <w:r w:rsidR="00A12153" w:rsidRPr="00DE46B5">
        <w:rPr>
          <w:noProof/>
          <w:vertAlign w:val="superscript"/>
        </w:rPr>
        <w:t>(6)</w:t>
      </w:r>
      <w:r w:rsidR="00353FAD" w:rsidRPr="00DE46B5">
        <w:rPr>
          <w:vertAlign w:val="superscript"/>
        </w:rPr>
        <w:fldChar w:fldCharType="end"/>
      </w:r>
      <w:r w:rsidR="00353FAD">
        <w:t>.</w:t>
      </w:r>
    </w:p>
    <w:p w14:paraId="4F09CE64" w14:textId="190EC41B" w:rsidR="00DC0241" w:rsidRPr="00227048" w:rsidRDefault="00616470" w:rsidP="00DC0241">
      <w:pPr>
        <w:pStyle w:val="P"/>
      </w:pPr>
      <w:bookmarkStart w:id="1" w:name="_Hlk203990839"/>
      <w:r w:rsidRPr="00616470">
        <w:t>The objective of this investigation was to investigate the correlations between myocardial injury and intra-dialytic changes in Hb level (post-HD-Hb/pre-HD-Hb) ratio in patients with chronic kidney disease (CKD) (stage 5) who are undergoing maintenance HD. Additionally, the study aimed to clarify the intradialytic changes of Hb levels in patients with CKD (stage 5) who are undergoing maintenance HD</w:t>
      </w:r>
      <w:r w:rsidR="00DC0241" w:rsidRPr="00227048">
        <w:t>.</w:t>
      </w:r>
    </w:p>
    <w:bookmarkEnd w:id="1"/>
    <w:p w14:paraId="63BDC76F" w14:textId="2695772D" w:rsidR="007C4AF4" w:rsidRPr="00227048" w:rsidRDefault="007C4AF4" w:rsidP="00DC0241">
      <w:pPr>
        <w:pStyle w:val="P"/>
        <w:rPr>
          <w:b/>
          <w:bCs/>
          <w:u w:val="single"/>
        </w:rPr>
      </w:pPr>
      <w:r w:rsidRPr="00227048">
        <w:rPr>
          <w:b/>
          <w:bCs/>
          <w:u w:val="single"/>
        </w:rPr>
        <w:t>Patients and methods</w:t>
      </w:r>
    </w:p>
    <w:p w14:paraId="1F79419C" w14:textId="79B98946" w:rsidR="00096CE7" w:rsidRDefault="000C5FCB" w:rsidP="00BA4F92">
      <w:pPr>
        <w:pStyle w:val="P"/>
        <w:rPr>
          <w:rFonts w:eastAsia="Times New Roman"/>
        </w:rPr>
      </w:pPr>
      <w:r w:rsidRPr="00BA4F92">
        <w:t xml:space="preserve">This </w:t>
      </w:r>
      <w:r w:rsidR="00BA4F92" w:rsidRPr="00BA4F92">
        <w:rPr>
          <w:rFonts w:eastAsia="Times New Roman"/>
        </w:rPr>
        <w:t>prospective study carried on 100 patients aged &gt; 18 years old with CKD stage 5 undergoing maintenance HD at the Nephrology unit</w:t>
      </w:r>
      <w:r w:rsidR="00A44ACA">
        <w:rPr>
          <w:rFonts w:eastAsia="Times New Roman"/>
        </w:rPr>
        <w:t>,</w:t>
      </w:r>
      <w:r w:rsidR="00BA4F92" w:rsidRPr="00BA4F92">
        <w:rPr>
          <w:rFonts w:eastAsia="Times New Roman"/>
        </w:rPr>
        <w:t xml:space="preserve"> Internal Medicine Department, at Benha University Hospitals</w:t>
      </w:r>
      <w:r w:rsidR="007B09DB">
        <w:rPr>
          <w:rFonts w:eastAsia="Times New Roman"/>
        </w:rPr>
        <w:t xml:space="preserve">. </w:t>
      </w:r>
      <w:r w:rsidR="007B09DB" w:rsidRPr="007B09DB">
        <w:rPr>
          <w:rFonts w:eastAsia="Times New Roman"/>
        </w:rPr>
        <w:t>This study was performed between June 2022 and June 2024</w:t>
      </w:r>
      <w:r w:rsidR="007B09DB">
        <w:rPr>
          <w:rFonts w:eastAsia="Times New Roman"/>
        </w:rPr>
        <w:t>.</w:t>
      </w:r>
      <w:r w:rsidR="00BA4F92" w:rsidRPr="00BA4F92">
        <w:rPr>
          <w:rFonts w:eastAsia="Times New Roman"/>
        </w:rPr>
        <w:t xml:space="preserve"> </w:t>
      </w:r>
    </w:p>
    <w:p w14:paraId="03F18F51" w14:textId="268D8D7A" w:rsidR="000C5FCB" w:rsidRPr="00BA4F92" w:rsidRDefault="000C5FCB" w:rsidP="00BA4F92">
      <w:pPr>
        <w:pStyle w:val="P"/>
        <w:rPr>
          <w:rFonts w:eastAsia="Times New Roman"/>
        </w:rPr>
      </w:pPr>
      <w:r w:rsidRPr="00BA4F92">
        <w:t>An informed written consent was obtained from the patients. Every patient received an explanation of the purpose of the study and had a secret code number. The study was done after being approved by the Research Ethics Committee, Faculty of Medicine, Benha University.</w:t>
      </w:r>
    </w:p>
    <w:p w14:paraId="4565FB5F" w14:textId="79FEB28E" w:rsidR="000C5FCB" w:rsidRPr="009F6448" w:rsidRDefault="000C5FCB" w:rsidP="00BA4F92">
      <w:pPr>
        <w:pStyle w:val="P"/>
        <w:rPr>
          <w:color w:val="000000"/>
          <w:lang w:bidi="ar-EG"/>
        </w:rPr>
      </w:pPr>
      <w:r w:rsidRPr="009F6448">
        <w:rPr>
          <w:color w:val="000000"/>
        </w:rPr>
        <w:t xml:space="preserve">Exclusion criteria </w:t>
      </w:r>
      <w:r w:rsidR="00BA4F92" w:rsidRPr="009F6448">
        <w:rPr>
          <w:color w:val="000000"/>
        </w:rPr>
        <w:t xml:space="preserve">included </w:t>
      </w:r>
      <w:r w:rsidR="001D3A11" w:rsidRPr="009F6448">
        <w:rPr>
          <w:color w:val="000000"/>
        </w:rPr>
        <w:t>Hb</w:t>
      </w:r>
      <w:r w:rsidR="00BA4F92" w:rsidRPr="009F6448">
        <w:rPr>
          <w:color w:val="000000"/>
        </w:rPr>
        <w:t xml:space="preserve"> concentrations &lt; 7.0 g/dL, blood transfusion myocardial Infarction, acute coronary syndrome, liver disease, severe chronic obstructive pulmonary disease</w:t>
      </w:r>
      <w:r w:rsidR="00756A73" w:rsidRPr="009F6448">
        <w:rPr>
          <w:color w:val="000000"/>
        </w:rPr>
        <w:t xml:space="preserve">, </w:t>
      </w:r>
      <w:r w:rsidR="00BA4F92" w:rsidRPr="009F6448">
        <w:rPr>
          <w:color w:val="000000"/>
        </w:rPr>
        <w:t>malignancy</w:t>
      </w:r>
      <w:r w:rsidR="009F6448" w:rsidRPr="009F6448">
        <w:rPr>
          <w:color w:val="000000"/>
          <w:lang w:bidi="ar-EG"/>
        </w:rPr>
        <w:t>.</w:t>
      </w:r>
    </w:p>
    <w:p w14:paraId="22FF2A2A" w14:textId="4CC9CAF0" w:rsidR="00BA4F92" w:rsidRPr="00F91F1C" w:rsidRDefault="000C5FCB" w:rsidP="00665A4C">
      <w:pPr>
        <w:pStyle w:val="P"/>
        <w:rPr>
          <w:b/>
          <w:bCs/>
          <w:color w:val="000000"/>
        </w:rPr>
      </w:pPr>
      <w:r w:rsidRPr="009F6448">
        <w:rPr>
          <w:b/>
          <w:bCs/>
          <w:color w:val="000000"/>
        </w:rPr>
        <w:t>Grouping</w:t>
      </w:r>
      <w:r w:rsidR="00F91F1C" w:rsidRPr="009F6448">
        <w:rPr>
          <w:b/>
          <w:bCs/>
          <w:color w:val="000000"/>
        </w:rPr>
        <w:t xml:space="preserve">: </w:t>
      </w:r>
      <w:r w:rsidR="00665A4C" w:rsidRPr="009F6448">
        <w:rPr>
          <w:color w:val="000000"/>
        </w:rPr>
        <w:t>A</w:t>
      </w:r>
      <w:r w:rsidR="00665A4C" w:rsidRPr="009F6448">
        <w:t>ccording</w:t>
      </w:r>
      <w:r w:rsidR="00665A4C" w:rsidRPr="00BA4F92">
        <w:t xml:space="preserve"> to baseline </w:t>
      </w:r>
      <w:r w:rsidR="00665A4C" w:rsidRPr="001D3A11">
        <w:t>Hb</w:t>
      </w:r>
      <w:r w:rsidR="00665A4C" w:rsidRPr="00BA4F92">
        <w:t xml:space="preserve"> level (post-Hb/pre-Hb)</w:t>
      </w:r>
      <w:r w:rsidR="00665A4C">
        <w:t xml:space="preserve"> </w:t>
      </w:r>
      <w:r w:rsidR="00665A4C" w:rsidRPr="00227048">
        <w:t>ratio</w:t>
      </w:r>
      <w:r w:rsidR="00665A4C" w:rsidRPr="00A44ACA">
        <w:t xml:space="preserve"> categorie</w:t>
      </w:r>
      <w:r w:rsidR="00665A4C">
        <w:t>s a</w:t>
      </w:r>
      <w:r w:rsidR="001D3A11">
        <w:t>ll p</w:t>
      </w:r>
      <w:r w:rsidRPr="00BA4F92">
        <w:t>atients were divided into</w:t>
      </w:r>
      <w:r w:rsidR="00BA4F92" w:rsidRPr="00BA4F92">
        <w:t xml:space="preserve"> four</w:t>
      </w:r>
      <w:r w:rsidRPr="00BA4F92">
        <w:t xml:space="preserve"> groups</w:t>
      </w:r>
      <w:r w:rsidR="00BA4F92" w:rsidRPr="00BA4F92">
        <w:t xml:space="preserve"> </w:t>
      </w:r>
      <w:r w:rsidR="00A12153">
        <w:t xml:space="preserve"> </w:t>
      </w:r>
      <w:r w:rsidR="00A12153" w:rsidRPr="007318EA">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7318EA">
        <w:instrText xml:space="preserve"> ADDIN EN.CITE </w:instrText>
      </w:r>
      <w:r w:rsidR="007C3A5C" w:rsidRPr="007318EA">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7318EA">
        <w:instrText xml:space="preserve"> ADDIN EN.CITE.DATA </w:instrText>
      </w:r>
      <w:r w:rsidR="007C3A5C" w:rsidRPr="007318EA">
        <w:fldChar w:fldCharType="end"/>
      </w:r>
      <w:r w:rsidR="00A12153" w:rsidRPr="007318EA">
        <w:fldChar w:fldCharType="separate"/>
      </w:r>
      <w:r w:rsidR="00A12153" w:rsidRPr="007318EA">
        <w:rPr>
          <w:noProof/>
        </w:rPr>
        <w:t>(1)</w:t>
      </w:r>
      <w:r w:rsidR="00A12153" w:rsidRPr="007318EA">
        <w:fldChar w:fldCharType="end"/>
      </w:r>
      <w:r w:rsidRPr="007318EA">
        <w:t xml:space="preserve">: </w:t>
      </w:r>
      <w:r w:rsidRPr="007318EA">
        <w:rPr>
          <w:rFonts w:ascii="Times New Roman" w:eastAsia="Times New Roman" w:hAnsi="Times New Roman" w:cs="Times New Roman"/>
          <w:b/>
        </w:rPr>
        <w:t xml:space="preserve">Group </w:t>
      </w:r>
      <w:r w:rsidR="00BA4F92" w:rsidRPr="007318EA">
        <w:rPr>
          <w:rFonts w:ascii="Times New Roman" w:eastAsia="Times New Roman" w:hAnsi="Times New Roman" w:cs="Times New Roman"/>
          <w:b/>
        </w:rPr>
        <w:t>1</w:t>
      </w:r>
      <w:r w:rsidR="00F91F1C" w:rsidRPr="007318EA">
        <w:rPr>
          <w:rFonts w:ascii="Times New Roman" w:eastAsia="Times New Roman" w:hAnsi="Times New Roman" w:cs="Times New Roman"/>
          <w:b/>
        </w:rPr>
        <w:t xml:space="preserve"> </w:t>
      </w:r>
      <w:r w:rsidR="00BA4F92" w:rsidRPr="007318EA">
        <w:rPr>
          <w:rFonts w:ascii="Times New Roman" w:eastAsia="Times New Roman" w:hAnsi="Times New Roman" w:cs="Times New Roman"/>
          <w:b/>
        </w:rPr>
        <w:t>(n=</w:t>
      </w:r>
      <w:r w:rsidR="004E5293" w:rsidRPr="007318EA">
        <w:rPr>
          <w:rFonts w:ascii="Times New Roman" w:eastAsia="Times New Roman" w:hAnsi="Times New Roman" w:cs="Times New Roman"/>
          <w:b/>
        </w:rPr>
        <w:t>20</w:t>
      </w:r>
      <w:r w:rsidR="00BA4F92" w:rsidRPr="007318EA">
        <w:rPr>
          <w:rFonts w:ascii="Times New Roman" w:eastAsia="Times New Roman" w:hAnsi="Times New Roman" w:cs="Times New Roman"/>
          <w:b/>
        </w:rPr>
        <w:t>)</w:t>
      </w:r>
      <w:r w:rsidR="001D3A11" w:rsidRPr="007318EA">
        <w:rPr>
          <w:rFonts w:ascii="Times New Roman" w:eastAsia="Times New Roman" w:hAnsi="Times New Roman" w:cs="Times New Roman"/>
          <w:b/>
        </w:rPr>
        <w:t>:</w:t>
      </w:r>
      <w:r w:rsidRPr="007318EA">
        <w:rPr>
          <w:rFonts w:ascii="Times New Roman" w:eastAsia="Times New Roman" w:hAnsi="Times New Roman" w:cs="Times New Roman"/>
        </w:rPr>
        <w:t xml:space="preserve"> </w:t>
      </w:r>
      <w:r w:rsidR="00BA4F92" w:rsidRPr="007318EA">
        <w:rPr>
          <w:rFonts w:ascii="Times New Roman" w:eastAsia="Times New Roman" w:hAnsi="Times New Roman" w:cs="Times New Roman"/>
        </w:rPr>
        <w:t xml:space="preserve">with post-Hb/pre-Hb ratio &lt;1.0, </w:t>
      </w:r>
      <w:r w:rsidR="00BA4F92" w:rsidRPr="007318EA">
        <w:rPr>
          <w:rFonts w:ascii="Times New Roman" w:eastAsia="Times New Roman" w:hAnsi="Times New Roman" w:cs="Times New Roman"/>
          <w:b/>
          <w:bCs/>
        </w:rPr>
        <w:t>g</w:t>
      </w:r>
      <w:r w:rsidRPr="007318EA">
        <w:rPr>
          <w:rFonts w:ascii="Times New Roman" w:eastAsia="Times New Roman" w:hAnsi="Times New Roman" w:cs="Times New Roman"/>
          <w:b/>
          <w:bCs/>
        </w:rPr>
        <w:t>r</w:t>
      </w:r>
      <w:r w:rsidRPr="007318EA">
        <w:rPr>
          <w:rFonts w:ascii="Times New Roman" w:eastAsia="Times New Roman" w:hAnsi="Times New Roman" w:cs="Times New Roman"/>
          <w:b/>
        </w:rPr>
        <w:t xml:space="preserve">oup </w:t>
      </w:r>
      <w:r w:rsidR="00BA4F92" w:rsidRPr="007318EA">
        <w:rPr>
          <w:rFonts w:ascii="Times New Roman" w:eastAsia="Times New Roman" w:hAnsi="Times New Roman" w:cs="Times New Roman"/>
          <w:b/>
        </w:rPr>
        <w:t>2 (n=</w:t>
      </w:r>
      <w:r w:rsidR="004E5293" w:rsidRPr="007318EA">
        <w:rPr>
          <w:rFonts w:ascii="Times New Roman" w:eastAsia="Times New Roman" w:hAnsi="Times New Roman" w:cs="Times New Roman"/>
          <w:b/>
        </w:rPr>
        <w:t>38</w:t>
      </w:r>
      <w:r w:rsidR="00BA4F92" w:rsidRPr="007318EA">
        <w:rPr>
          <w:rFonts w:ascii="Times New Roman" w:eastAsia="Times New Roman" w:hAnsi="Times New Roman" w:cs="Times New Roman"/>
          <w:b/>
        </w:rPr>
        <w:t>)</w:t>
      </w:r>
      <w:r w:rsidR="001D3A11" w:rsidRPr="007318EA">
        <w:rPr>
          <w:rFonts w:ascii="Times New Roman" w:eastAsia="Times New Roman" w:hAnsi="Times New Roman" w:cs="Times New Roman"/>
          <w:b/>
        </w:rPr>
        <w:t>:</w:t>
      </w:r>
      <w:r w:rsidRPr="007318EA">
        <w:rPr>
          <w:rFonts w:ascii="Times New Roman" w:eastAsia="Times New Roman" w:hAnsi="Times New Roman" w:cs="Times New Roman"/>
        </w:rPr>
        <w:t xml:space="preserve"> </w:t>
      </w:r>
      <w:r w:rsidR="00BA4F92" w:rsidRPr="007318EA">
        <w:rPr>
          <w:rFonts w:ascii="Times New Roman" w:eastAsia="Times New Roman" w:hAnsi="Times New Roman" w:cs="Times New Roman"/>
        </w:rPr>
        <w:t xml:space="preserve">with post-Hb/pre-Hb ratio 1.0 to &lt;1.1, </w:t>
      </w:r>
      <w:r w:rsidR="00BA4F92" w:rsidRPr="007318EA">
        <w:rPr>
          <w:rFonts w:ascii="Times New Roman" w:eastAsia="Times New Roman" w:hAnsi="Times New Roman" w:cs="Times New Roman"/>
          <w:b/>
          <w:bCs/>
        </w:rPr>
        <w:t>group 3 (n=</w:t>
      </w:r>
      <w:r w:rsidR="004E5293" w:rsidRPr="007318EA">
        <w:rPr>
          <w:rFonts w:ascii="Times New Roman" w:eastAsia="Times New Roman" w:hAnsi="Times New Roman" w:cs="Times New Roman"/>
          <w:b/>
          <w:bCs/>
        </w:rPr>
        <w:t>22</w:t>
      </w:r>
      <w:r w:rsidR="00BA4F92" w:rsidRPr="007318EA">
        <w:rPr>
          <w:rFonts w:ascii="Times New Roman" w:eastAsia="Times New Roman" w:hAnsi="Times New Roman" w:cs="Times New Roman"/>
          <w:b/>
          <w:bCs/>
        </w:rPr>
        <w:t>)</w:t>
      </w:r>
      <w:r w:rsidR="001D3A11" w:rsidRPr="007318EA">
        <w:rPr>
          <w:rFonts w:ascii="Times New Roman" w:eastAsia="Times New Roman" w:hAnsi="Times New Roman" w:cs="Times New Roman"/>
          <w:b/>
          <w:bCs/>
        </w:rPr>
        <w:t>:</w:t>
      </w:r>
      <w:r w:rsidR="00BA4F92" w:rsidRPr="007318EA">
        <w:rPr>
          <w:rFonts w:ascii="Times New Roman" w:eastAsia="Times New Roman" w:hAnsi="Times New Roman" w:cs="Times New Roman"/>
        </w:rPr>
        <w:t xml:space="preserve"> with post-Hb/pre-Hb ratio 1.1 to &lt;1.2 and </w:t>
      </w:r>
      <w:r w:rsidR="00BA4F92" w:rsidRPr="007318EA">
        <w:rPr>
          <w:rFonts w:ascii="Times New Roman" w:eastAsia="Times New Roman" w:hAnsi="Times New Roman" w:cs="Times New Roman"/>
          <w:b/>
          <w:bCs/>
        </w:rPr>
        <w:t>group 4 (n=</w:t>
      </w:r>
      <w:r w:rsidR="004E5293" w:rsidRPr="007318EA">
        <w:rPr>
          <w:rFonts w:ascii="Times New Roman" w:eastAsia="Times New Roman" w:hAnsi="Times New Roman" w:cs="Times New Roman"/>
          <w:b/>
          <w:bCs/>
        </w:rPr>
        <w:t>20</w:t>
      </w:r>
      <w:r w:rsidR="00BA4F92" w:rsidRPr="007318EA">
        <w:rPr>
          <w:rFonts w:ascii="Times New Roman" w:eastAsia="Times New Roman" w:hAnsi="Times New Roman" w:cs="Times New Roman"/>
          <w:b/>
          <w:bCs/>
        </w:rPr>
        <w:t>)</w:t>
      </w:r>
      <w:r w:rsidR="001D3A11" w:rsidRPr="007318EA">
        <w:rPr>
          <w:rFonts w:ascii="Times New Roman" w:eastAsia="Times New Roman" w:hAnsi="Times New Roman" w:cs="Times New Roman"/>
          <w:b/>
          <w:bCs/>
        </w:rPr>
        <w:t>:</w:t>
      </w:r>
      <w:r w:rsidR="00BA4F92" w:rsidRPr="007318EA">
        <w:rPr>
          <w:rFonts w:ascii="Times New Roman" w:eastAsia="Times New Roman" w:hAnsi="Times New Roman" w:cs="Times New Roman"/>
        </w:rPr>
        <w:t xml:space="preserve"> with post-Hb/pre-Hb ratio ≥1.2. While 4 groups according to post </w:t>
      </w:r>
      <w:r w:rsidR="00096CE7" w:rsidRPr="007318EA">
        <w:rPr>
          <w:rFonts w:ascii="Times New Roman" w:eastAsia="Times New Roman" w:hAnsi="Times New Roman" w:cs="Times New Roman"/>
        </w:rPr>
        <w:t>HD</w:t>
      </w:r>
      <w:r w:rsidR="00BA4F92" w:rsidRPr="007318EA">
        <w:rPr>
          <w:rFonts w:ascii="Times New Roman" w:eastAsia="Times New Roman" w:hAnsi="Times New Roman" w:cs="Times New Roman"/>
        </w:rPr>
        <w:t xml:space="preserve"> </w:t>
      </w:r>
      <w:r w:rsidR="001D3A11" w:rsidRPr="007318EA">
        <w:rPr>
          <w:rFonts w:ascii="Times New Roman" w:eastAsia="Times New Roman" w:hAnsi="Times New Roman" w:cs="Times New Roman"/>
        </w:rPr>
        <w:t>Hb</w:t>
      </w:r>
      <w:r w:rsidR="00BA4F92" w:rsidRPr="007318EA">
        <w:rPr>
          <w:rFonts w:ascii="Times New Roman" w:eastAsia="Times New Roman" w:hAnsi="Times New Roman" w:cs="Times New Roman"/>
        </w:rPr>
        <w:t xml:space="preserve"> level: </w:t>
      </w:r>
      <w:r w:rsidR="00BA4F92" w:rsidRPr="007318EA">
        <w:rPr>
          <w:rFonts w:ascii="Times New Roman" w:eastAsia="Times New Roman" w:hAnsi="Times New Roman" w:cs="Times New Roman"/>
          <w:b/>
          <w:bCs/>
        </w:rPr>
        <w:t>Group A</w:t>
      </w:r>
      <w:r w:rsidR="005016A7" w:rsidRPr="007318EA">
        <w:rPr>
          <w:rFonts w:ascii="Times New Roman" w:eastAsia="Times New Roman" w:hAnsi="Times New Roman" w:cs="Times New Roman"/>
          <w:b/>
          <w:bCs/>
        </w:rPr>
        <w:t xml:space="preserve"> (n=30)</w:t>
      </w:r>
      <w:r w:rsidR="001D3A11" w:rsidRPr="007318EA">
        <w:rPr>
          <w:rFonts w:ascii="Times New Roman" w:eastAsia="Times New Roman" w:hAnsi="Times New Roman" w:cs="Times New Roman"/>
          <w:b/>
          <w:bCs/>
        </w:rPr>
        <w:t>:</w:t>
      </w:r>
      <w:r w:rsidR="005016A7" w:rsidRPr="007318EA">
        <w:rPr>
          <w:rFonts w:ascii="Times New Roman" w:eastAsia="Times New Roman" w:hAnsi="Times New Roman" w:cs="Times New Roman"/>
          <w:b/>
          <w:bCs/>
        </w:rPr>
        <w:t xml:space="preserve"> </w:t>
      </w:r>
      <w:r w:rsidR="005016A7" w:rsidRPr="007318EA">
        <w:rPr>
          <w:rFonts w:ascii="Times New Roman" w:eastAsia="Times New Roman" w:hAnsi="Times New Roman" w:cs="Times New Roman"/>
        </w:rPr>
        <w:t xml:space="preserve">with post </w:t>
      </w:r>
      <w:r w:rsidR="001D3A11" w:rsidRPr="007318EA">
        <w:rPr>
          <w:rFonts w:ascii="Times New Roman" w:eastAsia="Times New Roman" w:hAnsi="Times New Roman" w:cs="Times New Roman"/>
        </w:rPr>
        <w:t>Hb</w:t>
      </w:r>
      <w:r w:rsidR="005016A7" w:rsidRPr="007318EA">
        <w:rPr>
          <w:rFonts w:ascii="Times New Roman" w:eastAsia="Times New Roman" w:hAnsi="Times New Roman" w:cs="Times New Roman"/>
        </w:rPr>
        <w:t xml:space="preserve"> level &lt;10 g/dL</w:t>
      </w:r>
      <w:r w:rsidR="005016A7" w:rsidRPr="007318EA">
        <w:rPr>
          <w:rFonts w:ascii="Times New Roman" w:eastAsia="Times New Roman" w:hAnsi="Times New Roman" w:cs="Times New Roman"/>
          <w:b/>
          <w:bCs/>
        </w:rPr>
        <w:t>, group B (n=20)</w:t>
      </w:r>
      <w:r w:rsidR="001D3A11" w:rsidRPr="007318EA">
        <w:rPr>
          <w:rFonts w:ascii="Times New Roman" w:eastAsia="Times New Roman" w:hAnsi="Times New Roman" w:cs="Times New Roman"/>
          <w:b/>
          <w:bCs/>
        </w:rPr>
        <w:t>:</w:t>
      </w:r>
      <w:r w:rsidR="005016A7" w:rsidRPr="007318EA">
        <w:rPr>
          <w:rFonts w:ascii="Times New Roman" w:eastAsia="Times New Roman" w:hAnsi="Times New Roman" w:cs="Times New Roman"/>
          <w:b/>
          <w:bCs/>
        </w:rPr>
        <w:t xml:space="preserve"> </w:t>
      </w:r>
      <w:r w:rsidR="005016A7" w:rsidRPr="007318EA">
        <w:rPr>
          <w:rFonts w:ascii="Times New Roman" w:eastAsia="Times New Roman" w:hAnsi="Times New Roman" w:cs="Times New Roman"/>
        </w:rPr>
        <w:t xml:space="preserve">with post </w:t>
      </w:r>
      <w:r w:rsidR="001D3A11" w:rsidRPr="007318EA">
        <w:rPr>
          <w:rFonts w:ascii="Times New Roman" w:eastAsia="Times New Roman" w:hAnsi="Times New Roman" w:cs="Times New Roman"/>
        </w:rPr>
        <w:t>Hb</w:t>
      </w:r>
      <w:r w:rsidR="005016A7" w:rsidRPr="007318EA">
        <w:rPr>
          <w:rFonts w:ascii="Times New Roman" w:eastAsia="Times New Roman" w:hAnsi="Times New Roman" w:cs="Times New Roman"/>
        </w:rPr>
        <w:t xml:space="preserve"> level 10 g/dL to &lt; 11 g/dL</w:t>
      </w:r>
      <w:r w:rsidR="005016A7" w:rsidRPr="007318EA">
        <w:rPr>
          <w:rFonts w:ascii="Times New Roman" w:eastAsia="Times New Roman" w:hAnsi="Times New Roman" w:cs="Times New Roman"/>
          <w:b/>
          <w:bCs/>
        </w:rPr>
        <w:t>, group C (n=20)</w:t>
      </w:r>
      <w:r w:rsidR="001D3A11" w:rsidRPr="007318EA">
        <w:rPr>
          <w:rFonts w:ascii="Times New Roman" w:eastAsia="Times New Roman" w:hAnsi="Times New Roman" w:cs="Times New Roman"/>
          <w:b/>
          <w:bCs/>
        </w:rPr>
        <w:t>:</w:t>
      </w:r>
      <w:r w:rsidR="005016A7" w:rsidRPr="007318EA">
        <w:rPr>
          <w:rFonts w:ascii="Times New Roman" w:eastAsia="Times New Roman" w:hAnsi="Times New Roman" w:cs="Times New Roman"/>
          <w:b/>
          <w:bCs/>
        </w:rPr>
        <w:t xml:space="preserve"> </w:t>
      </w:r>
      <w:r w:rsidR="005016A7" w:rsidRPr="007318EA">
        <w:rPr>
          <w:rFonts w:ascii="Times New Roman" w:eastAsia="Times New Roman" w:hAnsi="Times New Roman" w:cs="Times New Roman"/>
        </w:rPr>
        <w:t xml:space="preserve">with post </w:t>
      </w:r>
      <w:r w:rsidR="001D3A11" w:rsidRPr="007318EA">
        <w:rPr>
          <w:rFonts w:ascii="Times New Roman" w:eastAsia="Times New Roman" w:hAnsi="Times New Roman" w:cs="Times New Roman"/>
        </w:rPr>
        <w:t>Hb</w:t>
      </w:r>
      <w:r w:rsidR="005016A7" w:rsidRPr="007318EA">
        <w:rPr>
          <w:rFonts w:ascii="Times New Roman" w:eastAsia="Times New Roman" w:hAnsi="Times New Roman" w:cs="Times New Roman"/>
        </w:rPr>
        <w:t xml:space="preserve"> level 11 g/dL to &lt; 12 g/dL</w:t>
      </w:r>
      <w:r w:rsidR="005016A7" w:rsidRPr="007318EA">
        <w:rPr>
          <w:rFonts w:ascii="Times New Roman" w:eastAsia="Times New Roman" w:hAnsi="Times New Roman" w:cs="Times New Roman"/>
          <w:b/>
          <w:bCs/>
        </w:rPr>
        <w:t xml:space="preserve"> </w:t>
      </w:r>
      <w:r w:rsidR="005016A7" w:rsidRPr="007318EA">
        <w:rPr>
          <w:rFonts w:ascii="Times New Roman" w:eastAsia="Times New Roman" w:hAnsi="Times New Roman" w:cs="Times New Roman"/>
        </w:rPr>
        <w:t>and</w:t>
      </w:r>
      <w:r w:rsidR="005016A7" w:rsidRPr="007318EA">
        <w:rPr>
          <w:rFonts w:ascii="Times New Roman" w:eastAsia="Times New Roman" w:hAnsi="Times New Roman" w:cs="Times New Roman"/>
          <w:b/>
          <w:bCs/>
        </w:rPr>
        <w:t xml:space="preserve"> group D (n=30)</w:t>
      </w:r>
      <w:r w:rsidR="001D3A11" w:rsidRPr="007318EA">
        <w:rPr>
          <w:rFonts w:ascii="Times New Roman" w:eastAsia="Times New Roman" w:hAnsi="Times New Roman" w:cs="Times New Roman"/>
          <w:b/>
          <w:bCs/>
        </w:rPr>
        <w:t>:</w:t>
      </w:r>
      <w:r w:rsidR="005016A7" w:rsidRPr="007318EA">
        <w:rPr>
          <w:rFonts w:ascii="Times New Roman" w:eastAsia="Times New Roman" w:hAnsi="Times New Roman" w:cs="Times New Roman"/>
          <w:b/>
          <w:bCs/>
        </w:rPr>
        <w:t xml:space="preserve"> </w:t>
      </w:r>
      <w:r w:rsidR="005016A7" w:rsidRPr="007318EA">
        <w:rPr>
          <w:rFonts w:ascii="Times New Roman" w:eastAsia="Times New Roman" w:hAnsi="Times New Roman" w:cs="Times New Roman"/>
        </w:rPr>
        <w:t>with</w:t>
      </w:r>
      <w:r w:rsidR="005016A7" w:rsidRPr="005016A7">
        <w:rPr>
          <w:rFonts w:ascii="Times New Roman" w:eastAsia="Times New Roman" w:hAnsi="Times New Roman" w:cs="Times New Roman"/>
        </w:rPr>
        <w:t xml:space="preserve"> post </w:t>
      </w:r>
      <w:r w:rsidR="001D3A11" w:rsidRPr="001D3A11">
        <w:rPr>
          <w:rFonts w:ascii="Times New Roman" w:eastAsia="Times New Roman" w:hAnsi="Times New Roman" w:cs="Times New Roman"/>
        </w:rPr>
        <w:t>Hb</w:t>
      </w:r>
      <w:r w:rsidR="005016A7" w:rsidRPr="005016A7">
        <w:rPr>
          <w:rFonts w:ascii="Times New Roman" w:eastAsia="Times New Roman" w:hAnsi="Times New Roman" w:cs="Times New Roman"/>
        </w:rPr>
        <w:t xml:space="preserve"> level &gt;12 g/dL.</w:t>
      </w:r>
    </w:p>
    <w:p w14:paraId="270C0BD2" w14:textId="7FD17F7E" w:rsidR="00FD18AE" w:rsidRDefault="000C5FCB" w:rsidP="00FD18AE">
      <w:pPr>
        <w:pStyle w:val="P"/>
      </w:pPr>
      <w:r w:rsidRPr="007B09DB">
        <w:rPr>
          <w:b/>
          <w:bCs/>
        </w:rPr>
        <w:t>All studied</w:t>
      </w:r>
      <w:r w:rsidR="007B09DB">
        <w:rPr>
          <w:b/>
          <w:bCs/>
        </w:rPr>
        <w:t xml:space="preserve"> </w:t>
      </w:r>
      <w:r w:rsidRPr="007B09DB">
        <w:rPr>
          <w:b/>
          <w:bCs/>
        </w:rPr>
        <w:t xml:space="preserve">were subjected to the following: </w:t>
      </w:r>
      <w:r w:rsidR="007B09DB" w:rsidRPr="007B09DB">
        <w:rPr>
          <w:b/>
          <w:bCs/>
          <w:lang w:bidi="en-US"/>
        </w:rPr>
        <w:t xml:space="preserve">Complete history </w:t>
      </w:r>
      <w:r w:rsidR="007B09DB" w:rsidRPr="007B09DB">
        <w:rPr>
          <w:lang w:bidi="en-US"/>
        </w:rPr>
        <w:t>(</w:t>
      </w:r>
      <w:r w:rsidRPr="007B09DB">
        <w:rPr>
          <w:lang w:bidi="en-US"/>
        </w:rPr>
        <w:t>history taking</w:t>
      </w:r>
      <w:r w:rsidRPr="007B09DB">
        <w:rPr>
          <w:b/>
          <w:bCs/>
          <w:lang w:bidi="en-US"/>
        </w:rPr>
        <w:t xml:space="preserve"> </w:t>
      </w:r>
      <w:r w:rsidRPr="007B09DB">
        <w:rPr>
          <w:lang w:bidi="en-US"/>
        </w:rPr>
        <w:t>including</w:t>
      </w:r>
      <w:r w:rsidRPr="007B09DB">
        <w:rPr>
          <w:b/>
          <w:bCs/>
          <w:lang w:bidi="en-US"/>
        </w:rPr>
        <w:t xml:space="preserve"> </w:t>
      </w:r>
      <w:r w:rsidRPr="007B09DB">
        <w:t>age, gender and</w:t>
      </w:r>
      <w:r w:rsidR="007B09DB">
        <w:t xml:space="preserve"> c</w:t>
      </w:r>
      <w:r w:rsidR="007B09DB" w:rsidRPr="007B09DB">
        <w:t>ause of CKD</w:t>
      </w:r>
      <w:r w:rsidR="007B09DB">
        <w:t>)</w:t>
      </w:r>
      <w:r w:rsidRPr="007B09DB">
        <w:t xml:space="preserve">, </w:t>
      </w:r>
      <w:r w:rsidR="007B09DB">
        <w:t>u</w:t>
      </w:r>
      <w:r w:rsidR="007B09DB" w:rsidRPr="007B09DB">
        <w:t>nderlying disease</w:t>
      </w:r>
      <w:r w:rsidR="007B09DB">
        <w:t xml:space="preserve"> including </w:t>
      </w:r>
      <w:r w:rsidR="004D0C5A">
        <w:t>h</w:t>
      </w:r>
      <w:r w:rsidR="004D0C5A" w:rsidRPr="004D0C5A">
        <w:t>ypertension (HTN)</w:t>
      </w:r>
      <w:r w:rsidR="007B09DB">
        <w:t>,</w:t>
      </w:r>
      <w:r w:rsidR="00665A4C" w:rsidRPr="00665A4C">
        <w:t xml:space="preserve"> </w:t>
      </w:r>
      <w:r w:rsidR="00665A4C">
        <w:t xml:space="preserve">atrial fibrillation, </w:t>
      </w:r>
      <w:r w:rsidR="007B09DB">
        <w:t xml:space="preserve"> </w:t>
      </w:r>
      <w:r w:rsidR="004D0C5A" w:rsidRPr="004D0C5A">
        <w:t>diabetes mellitus (DM)</w:t>
      </w:r>
      <w:r w:rsidR="007B09DB">
        <w:t>, coronary artery disease,</w:t>
      </w:r>
      <w:r w:rsidR="00665A4C" w:rsidRPr="00665A4C">
        <w:t xml:space="preserve"> </w:t>
      </w:r>
      <w:r w:rsidR="00665A4C">
        <w:t>hyperlipidemia,</w:t>
      </w:r>
      <w:r w:rsidR="007B09DB">
        <w:t xml:space="preserve"> </w:t>
      </w:r>
      <w:r w:rsidR="007B09DB">
        <w:lastRenderedPageBreak/>
        <w:t xml:space="preserve">cerebrovascular disease and peripheral artery disease including vascular access, </w:t>
      </w:r>
      <w:r w:rsidR="00096CE7">
        <w:t xml:space="preserve">HD </w:t>
      </w:r>
      <w:r w:rsidR="007B09DB">
        <w:t xml:space="preserve"> duration, </w:t>
      </w:r>
      <w:proofErr w:type="spellStart"/>
      <w:r w:rsidR="007B09DB">
        <w:t>postdialysis</w:t>
      </w:r>
      <w:proofErr w:type="spellEnd"/>
      <w:r w:rsidR="007B09DB">
        <w:t xml:space="preserve"> weight loss, ultrafiltration rate and length of HD session/hours</w:t>
      </w:r>
      <w:r w:rsidR="007B09DB" w:rsidRPr="00F91F1C">
        <w:rPr>
          <w:b/>
          <w:bCs/>
        </w:rPr>
        <w:t>. Clinical examination included</w:t>
      </w:r>
      <w:r w:rsidR="007B09DB">
        <w:t xml:space="preserve"> pre-and </w:t>
      </w:r>
      <w:r w:rsidR="00F91F1C">
        <w:t>post-dialysis</w:t>
      </w:r>
      <w:r w:rsidR="007B09DB">
        <w:t xml:space="preserve"> systolic BP and body mass index (BMI). </w:t>
      </w:r>
      <w:r w:rsidR="007B09DB" w:rsidRPr="007B09DB">
        <w:t xml:space="preserve">Predialysis </w:t>
      </w:r>
      <w:r w:rsidR="007B09DB" w:rsidRPr="00F91F1C">
        <w:rPr>
          <w:b/>
          <w:bCs/>
        </w:rPr>
        <w:t xml:space="preserve">Laboratory investigations </w:t>
      </w:r>
      <w:r w:rsidR="007B09DB" w:rsidRPr="007318EA">
        <w:rPr>
          <w:b/>
          <w:bCs/>
        </w:rPr>
        <w:t>included</w:t>
      </w:r>
      <w:r w:rsidR="007B09DB" w:rsidRPr="007318EA">
        <w:t xml:space="preserve"> CBC, </w:t>
      </w:r>
      <w:r w:rsidR="001D3A11" w:rsidRPr="007318EA">
        <w:t>Hb</w:t>
      </w:r>
      <w:r w:rsidR="00756A73" w:rsidRPr="007318EA">
        <w:t xml:space="preserve">, </w:t>
      </w:r>
      <w:r w:rsidR="007B09DB" w:rsidRPr="007318EA">
        <w:t>post-HD-Hb / pre-HD-Hb ratio, serum phosphorus</w:t>
      </w:r>
      <w:r w:rsidR="00F91F1C" w:rsidRPr="007318EA">
        <w:t>,</w:t>
      </w:r>
      <w:r w:rsidR="007B09DB" w:rsidRPr="007318EA">
        <w:t xml:space="preserve"> C-reactive protein (CRP)</w:t>
      </w:r>
      <w:r w:rsidR="005F1ACB" w:rsidRPr="007318EA">
        <w:t xml:space="preserve"> </w:t>
      </w:r>
      <w:r w:rsidR="00F91F1C" w:rsidRPr="007318EA">
        <w:fldChar w:fldCharType="begin">
          <w:fldData xml:space="preserve">PEVuZE5vdGU+PENpdGU+PEF1dGhvcj5QYW48L0F1dGhvcj48WWVhcj4yMDIwPC9ZZWFyPjxSZWNO
dW0+NzwvUmVjTnVtPjxEaXNwbGF5VGV4dD4oNyk8L0Rpc3BsYXlUZXh0PjxyZWNvcmQ+PHJlYy1u
dW1iZXI+NzwvcmVjLW51bWJlcj48Zm9yZWlnbi1rZXlzPjxrZXkgYXBwPSJFTiIgZGItaWQ9Inh6
cmQ5dndhc2FzZmV0ZXZkdzY1MGZhZXpwMHpwMHdkZHc5NSIgdGltZXN0YW1wPSIxNzUzMTAxOTk0
Ij43PC9rZXk+PC9mb3JlaWduLWtleXM+PHJlZi10eXBlIG5hbWU9IkpvdXJuYWwgQXJ0aWNsZSI+
MTc8L3JlZi10eXBlPjxjb250cmlidXRvcnM+PGF1dGhvcnM+PGF1dGhvcj5QYW4sIEYuPC9hdXRo
b3I+PGF1dGhvcj5ZYW5nLCBMLjwvYXV0aG9yPjxhdXRob3I+TGksIFkuPC9hdXRob3I+PGF1dGhv
cj5MaWFuZywgQi48L2F1dGhvcj48YXV0aG9yPkxpLCBMLjwvYXV0aG9yPjxhdXRob3I+WWUsIFQu
PC9hdXRob3I+PGF1dGhvcj5MaSwgTC48L2F1dGhvcj48YXV0aG9yPkxpdSwgRC48L2F1dGhvcj48
YXV0aG9yPkd1aSwgUy48L2F1dGhvcj48YXV0aG9yPkh1LCBZLjwvYXV0aG9yPjxhdXRob3I+Wmhl
bmcsIEMuPC9hdXRob3I+PC9hdXRob3JzPjwvY29udHJpYnV0b3JzPjxhdXRoLWFkZHJlc3M+RGVw
YXJ0bWVudCBvZiBSYWRpb2xvZ3ksIFVuaW9uIEhvc3BpdGFsLCBUb25namkgTWVkaWNhbCBDb2xs
ZWdlLCBIdWF6aG9uZyBVbml2ZXJzaXR5IG9mIFNjaWVuY2UgYW5kIFRlY2hub2xvZ3ksIEppZWZh
bmcgQXZlbnVlICMxMjc3LCBXdWhhbiwgNDMwMDIyLCBDaGluYS4mI3hEO0h1YmVpIFByb3ZpbmNl
IEtleSBMYWJvcmF0b3J5IG9mIE1vbGVjdWxhciBJbWFnaW5nLCBXdWhhbiwgNDMwMDIyLCBDaGlu
YS4mI3hEO0RlcGFydG1lbnQgb2YgT3Rvcmhpbm9sYXJ5bmdvbG9neSwgVW5pb24gSG9zcGl0YWws
IFRvbmdqaSBNZWRpY2FsIENvbGxlZ2UsIEh1YXpob25nIFVuaXZlcnNpdHkgb2YgU2NpZW5jZSBh
bmQgVGVjaG5vbG9neSwgMTI3NyBKaWVmYW5nIEF2ZW51ZSwgV3VoYW4gNDMwMDIyLCBDaGluYS4m
I3hEO0luc3RpdHV0ZSBvZiBIZW1hdG9sb2d5LCBVbmlvbiBIb3NwaXRhbCwgVG9uZ2ppIE1lZGlj
YWwgQ29sbGVnZSwgSHVhemhvbmcgVW5pdmVyc2l0eSBvZiBTY2llbmNlIGFuZCBUZWNobm9sb2d5
LCAxMjc3IEppZWZhbmcgQXZlbnVlLCBXdWhhbiA0MzAwMjIsIENoaW5hLjwvYXV0aC1hZGRyZXNz
Pjx0aXRsZXM+PHRpdGxlPkZhY3RvcnMgYXNzb2NpYXRlZCB3aXRoIGRlYXRoIG91dGNvbWUgaW4g
cGF0aWVudHMgd2l0aCBzZXZlcmUgY29yb25hdmlydXMgZGlzZWFzZS0xOSAoQ09WSUQtMTkpOiBh
IGNhc2UtY29udHJvbCBzdHVkeTwvdGl0bGU+PHNlY29uZGFyeS10aXRsZT5JbnQgSiBNZWQgU2Np
PC9zZWNvbmRhcnktdGl0bGU+PC90aXRsZXM+PHBlcmlvZGljYWw+PGZ1bGwtdGl0bGU+SW50IEog
TWVkIFNjaTwvZnVsbC10aXRsZT48L3BlcmlvZGljYWw+PHBhZ2VzPjEyODEtMTI5MjwvcGFnZXM+
PHZvbHVtZT4xNzwvdm9sdW1lPjxudW1iZXI+OTwvbnVtYmVyPjxlZGl0aW9uPjIwMjAwNTE4PC9l
ZGl0aW9uPjxrZXl3b3Jkcz48a2V5d29yZD5BZ2VkPC9rZXl3b3JkPjxrZXl3b3JkPkJldGFjb3Jv
bmF2aXJ1cy8qaXNvbGF0aW9uICZhbXA7IHB1cmlmaWNhdGlvbi9wYXRob2dlbmljaXR5PC9rZXl3
b3JkPjxrZXl3b3JkPkJpb21hcmtlcnMvYmxvb2Q8L2tleXdvcmQ+PGtleXdvcmQ+Qy1SZWFjdGl2
ZSBQcm90ZWluL2FuYWx5c2lzPC9rZXl3b3JkPjxrZXl3b3JkPkNvdmlkLTE5PC9rZXl3b3JkPjxr
ZXl3b3JkPkNhc2UtQ29udHJvbCBTdHVkaWVzPC9rZXl3b3JkPjxrZXl3b3JkPipDYXVzZSBvZiBE
ZWF0aDwva2V5d29yZD48a2V5d29yZD5DaGluYS9lcGlkZW1pb2xvZ3k8L2tleXdvcmQ+PGtleXdv
cmQ+Q29yb25hdmlydXMgSW5mZWN0aW9ucy9ibG9vZC9jb21wbGljYXRpb25zLyptb3J0YWxpdHkv
dmlyb2xvZ3k8L2tleXdvcmQ+PGtleXdvcmQ+RmVtYWxlPC9rZXl3b3JkPjxrZXl3b3JkPkZpYnJp
biBGaWJyaW5vZ2VuIERlZ3JhZGF0aW9uIFByb2R1Y3RzL2FuYWx5c2lzPC9rZXl3b3JkPjxrZXl3
b3JkPkhlYXJ0IEZhaWx1cmUvYmxvb2QvKm1vcnRhbGl0eS92aXJvbG9neTwva2V5d29yZD48a2V5
d29yZD5IdW1hbnM8L2tleXdvcmQ+PGtleXdvcmQ+TC1MYWN0YXRlIERlaHlkcm9nZW5hc2UvYmxv
b2Q8L2tleXdvcmQ+PGtleXdvcmQ+THltcGhvY3l0ZSBDb3VudDwva2V5d29yZD48a2V5d29yZD5N
YWxlPC9rZXl3b3JkPjxrZXl3b3JkPk1pZGRsZSBBZ2VkPC9rZXl3b3JkPjxrZXl3b3JkPk5ldXRy
b3BoaWxzPC9rZXl3b3JkPjxrZXl3b3JkPk94aW1ldHJ5PC9rZXl3b3JkPjxrZXl3b3JkPk94eWdl
bi9ibG9vZDwva2V5d29yZD48a2V5d29yZD5QYW5kZW1pY3M8L2tleXdvcmQ+PGtleXdvcmQ+UG5l
dW1vbmlhLCBWaXJhbC9ibG9vZC9jb21wbGljYXRpb25zLyptb3J0YWxpdHkvdmlyb2xvZ3k8L2tl
eXdvcmQ+PGtleXdvcmQ+UHJvY2FsY2l0b25pbi9ibG9vZDwva2V5d29yZD48a2V5d29yZD5Qcm9n
bm9zaXM8L2tleXdvcmQ+PGtleXdvcmQ+Uk9DIEN1cnZlPC9rZXl3b3JkPjxrZXl3b3JkPlJpc2sg
RmFjdG9yczwva2V5d29yZD48a2V5d29yZD5TQVJTLUNvVi0yPC9rZXl3b3JkPjxrZXl3b3JkPlN5
c3RlbWljIEluZmxhbW1hdG9yeSBSZXNwb25zZSBTeW5kcm9tZS9ibG9vZC8qbW9ydGFsaXR5L3Zp
cm9sb2d5PC9rZXl3b3JkPjxrZXl3b3JkPkNyaXRpY2FsIGNhcmU8L2tleXdvcmQ+PGtleXdvcmQ+
UmFkaW9ncmFwaHk8L2tleXdvcmQ+PC9rZXl3b3Jkcz48ZGF0ZXM+PHllYXI+MjAyMDwveWVhcj48
L2RhdGVzPjxpc2JuPjE0NDktMTkwNzwvaXNibj48YWNjZXNzaW9uLW51bT4zMjU0NzMyMzwvYWNj
ZXNzaW9uLW51bT48dXJscz48L3VybHM+PGN1c3RvbTE+Q29tcGV0aW5nIEludGVyZXN0czogVGhl
IGF1dGhvcnMgaGF2ZSBkZWNsYXJlZCB0aGF0IG5vIGNvbXBldGluZyBpbnRlcmVzdCBleGlzdHMu
PC9jdXN0b20xPjxjdXN0b20yPlBNQzcyOTQ5MTU8L2N1c3RvbTI+PGVsZWN0cm9uaWMtcmVzb3Vy
Y2UtbnVtPjEwLjcxNTAvaWptcy40NjYxNDwvZWxlY3Ryb25pYy1yZXNvdXJjZS1udW0+PHJlbW90
ZS1kYXRhYmFzZS1wcm92aWRlcj5OTE08L3JlbW90ZS1kYXRhYmFzZS1wcm92aWRlcj48bGFuZ3Vh
Z2U+ZW5nPC9sYW5ndWFnZT48L3JlY29yZD48L0NpdGU+PC9FbmROb3RlPn==
</w:fldData>
        </w:fldChar>
      </w:r>
      <w:r w:rsidR="007C3A5C" w:rsidRPr="007318EA">
        <w:instrText xml:space="preserve"> ADDIN EN.CITE </w:instrText>
      </w:r>
      <w:r w:rsidR="007C3A5C" w:rsidRPr="007318EA">
        <w:fldChar w:fldCharType="begin">
          <w:fldData xml:space="preserve">PEVuZE5vdGU+PENpdGU+PEF1dGhvcj5QYW48L0F1dGhvcj48WWVhcj4yMDIwPC9ZZWFyPjxSZWNO
dW0+NzwvUmVjTnVtPjxEaXNwbGF5VGV4dD4oNyk8L0Rpc3BsYXlUZXh0PjxyZWNvcmQ+PHJlYy1u
dW1iZXI+NzwvcmVjLW51bWJlcj48Zm9yZWlnbi1rZXlzPjxrZXkgYXBwPSJFTiIgZGItaWQ9Inh6
cmQ5dndhc2FzZmV0ZXZkdzY1MGZhZXpwMHpwMHdkZHc5NSIgdGltZXN0YW1wPSIxNzUzMTAxOTk0
Ij43PC9rZXk+PC9mb3JlaWduLWtleXM+PHJlZi10eXBlIG5hbWU9IkpvdXJuYWwgQXJ0aWNsZSI+
MTc8L3JlZi10eXBlPjxjb250cmlidXRvcnM+PGF1dGhvcnM+PGF1dGhvcj5QYW4sIEYuPC9hdXRo
b3I+PGF1dGhvcj5ZYW5nLCBMLjwvYXV0aG9yPjxhdXRob3I+TGksIFkuPC9hdXRob3I+PGF1dGhv
cj5MaWFuZywgQi48L2F1dGhvcj48YXV0aG9yPkxpLCBMLjwvYXV0aG9yPjxhdXRob3I+WWUsIFQu
PC9hdXRob3I+PGF1dGhvcj5MaSwgTC48L2F1dGhvcj48YXV0aG9yPkxpdSwgRC48L2F1dGhvcj48
YXV0aG9yPkd1aSwgUy48L2F1dGhvcj48YXV0aG9yPkh1LCBZLjwvYXV0aG9yPjxhdXRob3I+Wmhl
bmcsIEMuPC9hdXRob3I+PC9hdXRob3JzPjwvY29udHJpYnV0b3JzPjxhdXRoLWFkZHJlc3M+RGVw
YXJ0bWVudCBvZiBSYWRpb2xvZ3ksIFVuaW9uIEhvc3BpdGFsLCBUb25namkgTWVkaWNhbCBDb2xs
ZWdlLCBIdWF6aG9uZyBVbml2ZXJzaXR5IG9mIFNjaWVuY2UgYW5kIFRlY2hub2xvZ3ksIEppZWZh
bmcgQXZlbnVlICMxMjc3LCBXdWhhbiwgNDMwMDIyLCBDaGluYS4mI3hEO0h1YmVpIFByb3ZpbmNl
IEtleSBMYWJvcmF0b3J5IG9mIE1vbGVjdWxhciBJbWFnaW5nLCBXdWhhbiwgNDMwMDIyLCBDaGlu
YS4mI3hEO0RlcGFydG1lbnQgb2YgT3Rvcmhpbm9sYXJ5bmdvbG9neSwgVW5pb24gSG9zcGl0YWws
IFRvbmdqaSBNZWRpY2FsIENvbGxlZ2UsIEh1YXpob25nIFVuaXZlcnNpdHkgb2YgU2NpZW5jZSBh
bmQgVGVjaG5vbG9neSwgMTI3NyBKaWVmYW5nIEF2ZW51ZSwgV3VoYW4gNDMwMDIyLCBDaGluYS4m
I3hEO0luc3RpdHV0ZSBvZiBIZW1hdG9sb2d5LCBVbmlvbiBIb3NwaXRhbCwgVG9uZ2ppIE1lZGlj
YWwgQ29sbGVnZSwgSHVhemhvbmcgVW5pdmVyc2l0eSBvZiBTY2llbmNlIGFuZCBUZWNobm9sb2d5
LCAxMjc3IEppZWZhbmcgQXZlbnVlLCBXdWhhbiA0MzAwMjIsIENoaW5hLjwvYXV0aC1hZGRyZXNz
Pjx0aXRsZXM+PHRpdGxlPkZhY3RvcnMgYXNzb2NpYXRlZCB3aXRoIGRlYXRoIG91dGNvbWUgaW4g
cGF0aWVudHMgd2l0aCBzZXZlcmUgY29yb25hdmlydXMgZGlzZWFzZS0xOSAoQ09WSUQtMTkpOiBh
IGNhc2UtY29udHJvbCBzdHVkeTwvdGl0bGU+PHNlY29uZGFyeS10aXRsZT5JbnQgSiBNZWQgU2Np
PC9zZWNvbmRhcnktdGl0bGU+PC90aXRsZXM+PHBlcmlvZGljYWw+PGZ1bGwtdGl0bGU+SW50IEog
TWVkIFNjaTwvZnVsbC10aXRsZT48L3BlcmlvZGljYWw+PHBhZ2VzPjEyODEtMTI5MjwvcGFnZXM+
PHZvbHVtZT4xNzwvdm9sdW1lPjxudW1iZXI+OTwvbnVtYmVyPjxlZGl0aW9uPjIwMjAwNTE4PC9l
ZGl0aW9uPjxrZXl3b3Jkcz48a2V5d29yZD5BZ2VkPC9rZXl3b3JkPjxrZXl3b3JkPkJldGFjb3Jv
bmF2aXJ1cy8qaXNvbGF0aW9uICZhbXA7IHB1cmlmaWNhdGlvbi9wYXRob2dlbmljaXR5PC9rZXl3
b3JkPjxrZXl3b3JkPkJpb21hcmtlcnMvYmxvb2Q8L2tleXdvcmQ+PGtleXdvcmQ+Qy1SZWFjdGl2
ZSBQcm90ZWluL2FuYWx5c2lzPC9rZXl3b3JkPjxrZXl3b3JkPkNvdmlkLTE5PC9rZXl3b3JkPjxr
ZXl3b3JkPkNhc2UtQ29udHJvbCBTdHVkaWVzPC9rZXl3b3JkPjxrZXl3b3JkPipDYXVzZSBvZiBE
ZWF0aDwva2V5d29yZD48a2V5d29yZD5DaGluYS9lcGlkZW1pb2xvZ3k8L2tleXdvcmQ+PGtleXdv
cmQ+Q29yb25hdmlydXMgSW5mZWN0aW9ucy9ibG9vZC9jb21wbGljYXRpb25zLyptb3J0YWxpdHkv
dmlyb2xvZ3k8L2tleXdvcmQ+PGtleXdvcmQ+RmVtYWxlPC9rZXl3b3JkPjxrZXl3b3JkPkZpYnJp
biBGaWJyaW5vZ2VuIERlZ3JhZGF0aW9uIFByb2R1Y3RzL2FuYWx5c2lzPC9rZXl3b3JkPjxrZXl3
b3JkPkhlYXJ0IEZhaWx1cmUvYmxvb2QvKm1vcnRhbGl0eS92aXJvbG9neTwva2V5d29yZD48a2V5
d29yZD5IdW1hbnM8L2tleXdvcmQ+PGtleXdvcmQ+TC1MYWN0YXRlIERlaHlkcm9nZW5hc2UvYmxv
b2Q8L2tleXdvcmQ+PGtleXdvcmQ+THltcGhvY3l0ZSBDb3VudDwva2V5d29yZD48a2V5d29yZD5N
YWxlPC9rZXl3b3JkPjxrZXl3b3JkPk1pZGRsZSBBZ2VkPC9rZXl3b3JkPjxrZXl3b3JkPk5ldXRy
b3BoaWxzPC9rZXl3b3JkPjxrZXl3b3JkPk94aW1ldHJ5PC9rZXl3b3JkPjxrZXl3b3JkPk94eWdl
bi9ibG9vZDwva2V5d29yZD48a2V5d29yZD5QYW5kZW1pY3M8L2tleXdvcmQ+PGtleXdvcmQ+UG5l
dW1vbmlhLCBWaXJhbC9ibG9vZC9jb21wbGljYXRpb25zLyptb3J0YWxpdHkvdmlyb2xvZ3k8L2tl
eXdvcmQ+PGtleXdvcmQ+UHJvY2FsY2l0b25pbi9ibG9vZDwva2V5d29yZD48a2V5d29yZD5Qcm9n
bm9zaXM8L2tleXdvcmQ+PGtleXdvcmQ+Uk9DIEN1cnZlPC9rZXl3b3JkPjxrZXl3b3JkPlJpc2sg
RmFjdG9yczwva2V5d29yZD48a2V5d29yZD5TQVJTLUNvVi0yPC9rZXl3b3JkPjxrZXl3b3JkPlN5
c3RlbWljIEluZmxhbW1hdG9yeSBSZXNwb25zZSBTeW5kcm9tZS9ibG9vZC8qbW9ydGFsaXR5L3Zp
cm9sb2d5PC9rZXl3b3JkPjxrZXl3b3JkPkNyaXRpY2FsIGNhcmU8L2tleXdvcmQ+PGtleXdvcmQ+
UmFkaW9ncmFwaHk8L2tleXdvcmQ+PC9rZXl3b3Jkcz48ZGF0ZXM+PHllYXI+MjAyMDwveWVhcj48
L2RhdGVzPjxpc2JuPjE0NDktMTkwNzwvaXNibj48YWNjZXNzaW9uLW51bT4zMjU0NzMyMzwvYWNj
ZXNzaW9uLW51bT48dXJscz48L3VybHM+PGN1c3RvbTE+Q29tcGV0aW5nIEludGVyZXN0czogVGhl
IGF1dGhvcnMgaGF2ZSBkZWNsYXJlZCB0aGF0IG5vIGNvbXBldGluZyBpbnRlcmVzdCBleGlzdHMu
PC9jdXN0b20xPjxjdXN0b20yPlBNQzcyOTQ5MTU8L2N1c3RvbTI+PGVsZWN0cm9uaWMtcmVzb3Vy
Y2UtbnVtPjEwLjcxNTAvaWptcy40NjYxNDwvZWxlY3Ryb25pYy1yZXNvdXJjZS1udW0+PHJlbW90
ZS1kYXRhYmFzZS1wcm92aWRlcj5OTE08L3JlbW90ZS1kYXRhYmFzZS1wcm92aWRlcj48bGFuZ3Vh
Z2U+ZW5nPC9sYW5ndWFnZT48L3JlY29yZD48L0NpdGU+PC9FbmROb3RlPn==
</w:fldData>
        </w:fldChar>
      </w:r>
      <w:r w:rsidR="007C3A5C" w:rsidRPr="007318EA">
        <w:instrText xml:space="preserve"> ADDIN EN.CITE.DATA </w:instrText>
      </w:r>
      <w:r w:rsidR="007C3A5C" w:rsidRPr="007318EA">
        <w:fldChar w:fldCharType="end"/>
      </w:r>
      <w:r w:rsidR="00F91F1C" w:rsidRPr="007318EA">
        <w:fldChar w:fldCharType="separate"/>
      </w:r>
      <w:r w:rsidR="00A12153" w:rsidRPr="007318EA">
        <w:rPr>
          <w:noProof/>
        </w:rPr>
        <w:t>(7)</w:t>
      </w:r>
      <w:r w:rsidR="00F91F1C" w:rsidRPr="007318EA">
        <w:fldChar w:fldCharType="end"/>
      </w:r>
      <w:r w:rsidR="007B09DB" w:rsidRPr="007318EA">
        <w:t>, random blood glucose</w:t>
      </w:r>
      <w:r w:rsidR="004B2F14" w:rsidRPr="007318EA">
        <w:t>, t</w:t>
      </w:r>
      <w:r w:rsidR="007B09DB" w:rsidRPr="007318EA">
        <w:t>otal cholesterol</w:t>
      </w:r>
      <w:r w:rsidR="004B2F14" w:rsidRPr="007318EA">
        <w:t xml:space="preserve">, </w:t>
      </w:r>
      <w:r w:rsidR="007B09DB" w:rsidRPr="007318EA">
        <w:t>HDL</w:t>
      </w:r>
      <w:r w:rsidR="004B2F14" w:rsidRPr="007318EA">
        <w:t xml:space="preserve">, </w:t>
      </w:r>
      <w:r w:rsidR="007B09DB" w:rsidRPr="007318EA">
        <w:t>LDL</w:t>
      </w:r>
      <w:r w:rsidR="004B2F14" w:rsidRPr="007318EA">
        <w:t>, t</w:t>
      </w:r>
      <w:r w:rsidR="007B09DB" w:rsidRPr="007318EA">
        <w:t>riglycerides</w:t>
      </w:r>
      <w:r w:rsidR="004B2F14" w:rsidRPr="007318EA">
        <w:t>, a</w:t>
      </w:r>
      <w:r w:rsidR="007B09DB" w:rsidRPr="007318EA">
        <w:t>lbumin</w:t>
      </w:r>
      <w:r w:rsidR="004B2F14" w:rsidRPr="007318EA">
        <w:t>, p</w:t>
      </w:r>
      <w:r w:rsidR="007B09DB" w:rsidRPr="007318EA">
        <w:t>hosphorous</w:t>
      </w:r>
      <w:r w:rsidR="004B2F14" w:rsidRPr="007318EA">
        <w:t xml:space="preserve">, </w:t>
      </w:r>
      <w:r w:rsidR="007B09DB" w:rsidRPr="007318EA">
        <w:t>PTH</w:t>
      </w:r>
      <w:r w:rsidR="004B2F14" w:rsidRPr="007318EA">
        <w:t>, c</w:t>
      </w:r>
      <w:r w:rsidR="007B09DB" w:rsidRPr="007318EA">
        <w:t>reatinine</w:t>
      </w:r>
      <w:r w:rsidR="004B2F14" w:rsidRPr="007318EA">
        <w:t>, u</w:t>
      </w:r>
      <w:r w:rsidR="007B09DB" w:rsidRPr="007318EA">
        <w:t>rea</w:t>
      </w:r>
      <w:r w:rsidR="004B2F14" w:rsidRPr="007318EA">
        <w:t>, u</w:t>
      </w:r>
      <w:r w:rsidR="007B09DB" w:rsidRPr="007318EA">
        <w:t>ric acid</w:t>
      </w:r>
      <w:r w:rsidR="004B2F14" w:rsidRPr="007318EA">
        <w:t>, p</w:t>
      </w:r>
      <w:r w:rsidR="007B09DB" w:rsidRPr="007318EA">
        <w:t>otassium</w:t>
      </w:r>
      <w:r w:rsidR="004B2F14" w:rsidRPr="007318EA">
        <w:t>, s</w:t>
      </w:r>
      <w:r w:rsidR="007B09DB" w:rsidRPr="007318EA">
        <w:t>odium</w:t>
      </w:r>
      <w:r w:rsidR="004B2F14" w:rsidRPr="007318EA">
        <w:t xml:space="preserve">, </w:t>
      </w:r>
      <w:r w:rsidR="007B09DB" w:rsidRPr="007318EA">
        <w:t>hsCRP</w:t>
      </w:r>
      <w:r w:rsidR="004B2F14" w:rsidRPr="007318EA">
        <w:t>, s</w:t>
      </w:r>
      <w:r w:rsidR="007B09DB" w:rsidRPr="007318EA">
        <w:t>erum albumin</w:t>
      </w:r>
      <w:r w:rsidR="004B2F14" w:rsidRPr="007318EA">
        <w:t>, s</w:t>
      </w:r>
      <w:r w:rsidR="007B09DB" w:rsidRPr="007318EA">
        <w:t>erum total calcium</w:t>
      </w:r>
      <w:r w:rsidR="004B2F14" w:rsidRPr="007318EA">
        <w:t xml:space="preserve">, </w:t>
      </w:r>
      <w:r w:rsidR="00616470" w:rsidRPr="007318EA">
        <w:t>Calculated as follows, the post-Hb/pre-Hb concentration ratio is as follows</w:t>
      </w:r>
      <w:r w:rsidR="00FD18AE" w:rsidRPr="007318EA">
        <w:t>: The post-Hb concentration/pre-Hb concentration (post-Hb/pre-Hb) and</w:t>
      </w:r>
      <w:r w:rsidR="00FD18AE" w:rsidRPr="00FD18AE">
        <w:t xml:space="preserve"> Hb concentrations, as well as high-sensitivity cardiac troponin T (</w:t>
      </w:r>
      <w:proofErr w:type="spellStart"/>
      <w:r w:rsidR="00FD18AE" w:rsidRPr="00FD18AE">
        <w:t>hs-cTnT</w:t>
      </w:r>
      <w:proofErr w:type="spellEnd"/>
      <w:r w:rsidR="00FD18AE" w:rsidRPr="00FD18AE">
        <w:t>) prior to and following HD, and creatine kinase (CK-MB) prior to and following HD, will be evaluated during the introductory session of the week.</w:t>
      </w:r>
    </w:p>
    <w:p w14:paraId="508B2E20" w14:textId="196DDEE1" w:rsidR="007B09DB" w:rsidRPr="004B2F14" w:rsidRDefault="004B2F14" w:rsidP="00FD18AE">
      <w:pPr>
        <w:pStyle w:val="P"/>
        <w:rPr>
          <w:b/>
          <w:bCs/>
        </w:rPr>
      </w:pPr>
      <w:r w:rsidRPr="004B2F14">
        <w:rPr>
          <w:b/>
          <w:bCs/>
        </w:rPr>
        <w:t>Echocardiogram</w:t>
      </w:r>
    </w:p>
    <w:p w14:paraId="3B954C1C" w14:textId="2A443B8F" w:rsidR="004B2F14" w:rsidRPr="00B93D26" w:rsidRDefault="004B2F14" w:rsidP="004B2F14">
      <w:pPr>
        <w:pStyle w:val="P"/>
        <w:rPr>
          <w:b/>
          <w:bCs/>
        </w:rPr>
      </w:pPr>
      <w:r w:rsidRPr="00B93D26">
        <w:rPr>
          <w:b/>
          <w:bCs/>
        </w:rPr>
        <w:t>Speckle Tracking Echocardiography</w:t>
      </w:r>
      <w:r w:rsidR="00F91F1C">
        <w:rPr>
          <w:b/>
          <w:bCs/>
        </w:rPr>
        <w:t xml:space="preserve"> </w:t>
      </w:r>
      <w:r w:rsidRPr="00B93D26">
        <w:rPr>
          <w:b/>
          <w:bCs/>
        </w:rPr>
        <w:t xml:space="preserve">(STE) </w:t>
      </w:r>
      <w:r w:rsidRPr="00B93D26">
        <w:t xml:space="preserve">is an advanced imaging technique that analyzes myocardial strain, providing insights into myocardial deformation and function. In </w:t>
      </w:r>
      <w:r w:rsidR="00096CE7" w:rsidRPr="00096CE7">
        <w:t>HD</w:t>
      </w:r>
      <w:r w:rsidRPr="00B93D26">
        <w:t xml:space="preserve"> patients, STE has been used to detect subclinical myocardial dysfunction, even in the presence of preserved ejection fraction. This modality can identify early myocardial changes that may not be apparent with conventional echocardiographic methods.</w:t>
      </w:r>
      <w:r w:rsidR="004D0C5A">
        <w:t xml:space="preserve"> </w:t>
      </w:r>
      <w:r w:rsidR="00FD18AE" w:rsidRPr="00FD18AE">
        <w:t>A comprehensive evaluation of the left ventricular ejection fraction, end-diastolic diameter, and left ventricular end-diastolic diameter was performed for all patients</w:t>
      </w:r>
      <w:r w:rsidR="00FD18AE">
        <w:t xml:space="preserve"> </w:t>
      </w:r>
      <w:r w:rsidR="002F510C" w:rsidRPr="002F510C">
        <w:fldChar w:fldCharType="begin"/>
      </w:r>
      <w:r w:rsidR="007C3A5C">
        <w:instrText xml:space="preserve"> ADDIN EN.CITE &lt;EndNote&gt;&lt;Cite&gt;&lt;Author&gt;Leitman&lt;/Author&gt;&lt;Year&gt;2004&lt;/Year&gt;&lt;RecNum&gt;8&lt;/RecNum&gt;&lt;DisplayText&gt;(8)&lt;/DisplayText&gt;&lt;record&gt;&lt;rec-number&gt;8&lt;/rec-number&gt;&lt;foreign-keys&gt;&lt;key app="EN" db-id="xzrd9vwasasfetevdw650faezp0zp0wddw95" timestamp="1753101994"&gt;8&lt;/key&gt;&lt;/foreign-keys&gt;&lt;ref-type name="Journal Article"&gt;17&lt;/ref-type&gt;&lt;contributors&gt;&lt;authors&gt;&lt;author&gt;Leitman, Marina&lt;/author&gt;&lt;author&gt;Lysyansky, Peter&lt;/author&gt;&lt;author&gt;Sidenko, Stanislav&lt;/author&gt;&lt;author&gt;Shir, Vladimir&lt;/author&gt;&lt;author&gt;Peleg, Eli&lt;/author&gt;&lt;author&gt;Binenbaum, Michal&lt;/author&gt;&lt;author&gt;Kaluski, Edo&lt;/author&gt;&lt;author&gt;Krakover, Ricardo&lt;/author&gt;&lt;author&gt;Vered, Zvi&lt;/author&gt;&lt;/authors&gt;&lt;/contributors&gt;&lt;titles&gt;&lt;title&gt;Two-dimensional strain–a novel software for real-time quantitative echocardiographic assessment of myocardial function&lt;/title&gt;&lt;secondary-title&gt;J Am Soc Echocardiogr &lt;/secondary-title&gt;&lt;/titles&gt;&lt;pages&gt;1021-1029&lt;/pages&gt;&lt;volume&gt;17&lt;/volume&gt;&lt;number&gt;10&lt;/number&gt;&lt;dates&gt;&lt;year&gt;2004&lt;/year&gt;&lt;/dates&gt;&lt;isbn&gt;0894-7317&lt;/isbn&gt;&lt;urls&gt;&lt;/urls&gt;&lt;/record&gt;&lt;/Cite&gt;&lt;/EndNote&gt;</w:instrText>
      </w:r>
      <w:r w:rsidR="002F510C" w:rsidRPr="002F510C">
        <w:fldChar w:fldCharType="separate"/>
      </w:r>
      <w:r w:rsidR="00A12153">
        <w:rPr>
          <w:noProof/>
        </w:rPr>
        <w:t>(8)</w:t>
      </w:r>
      <w:r w:rsidR="002F510C" w:rsidRPr="002F510C">
        <w:fldChar w:fldCharType="end"/>
      </w:r>
      <w:r w:rsidR="002F510C" w:rsidRPr="002F510C">
        <w:t>.</w:t>
      </w:r>
    </w:p>
    <w:p w14:paraId="3EBACED8" w14:textId="6A13D0EA" w:rsidR="004B2F14" w:rsidRDefault="004B2F14" w:rsidP="00CC6D91">
      <w:pPr>
        <w:pStyle w:val="P"/>
      </w:pPr>
      <w:r w:rsidRPr="004B2F14">
        <w:rPr>
          <w:b/>
          <w:bCs/>
        </w:rPr>
        <w:t>ECG: pre- and post-hemodialysis</w:t>
      </w:r>
      <w:r w:rsidR="00CC6D91">
        <w:rPr>
          <w:b/>
          <w:bCs/>
        </w:rPr>
        <w:t xml:space="preserve">: </w:t>
      </w:r>
      <w:r w:rsidR="00FD18AE" w:rsidRPr="00FD18AE">
        <w:t xml:space="preserve">The ECG criteria for HD patients included ST-Segment elevation myocardial infarction.  This was defined as an ST-segment elevation of ≥0.1 mV in at least two contiguous limb or precordial leads, excluding </w:t>
      </w:r>
      <w:proofErr w:type="spellStart"/>
      <w:r w:rsidR="00FD18AE" w:rsidRPr="00FD18AE">
        <w:t>aVR</w:t>
      </w:r>
      <w:proofErr w:type="spellEnd"/>
      <w:r w:rsidR="00FD18AE" w:rsidRPr="00FD18AE">
        <w:t xml:space="preserve">.   NCBI and non-ST-elevation myocardial infarction: T-wave inversion ≥0.1 mV or dynamic ST-segment depression ≥0.1 mV in at least two contiguous leads, accompanied by elevated cardiac biomarkers </w:t>
      </w:r>
      <w:r w:rsidR="002F510C">
        <w:fldChar w:fldCharType="begin"/>
      </w:r>
      <w:r w:rsidR="007C3A5C">
        <w:instrText xml:space="preserve"> ADDIN EN.CITE &lt;EndNote&gt;&lt;Cite&gt;&lt;Author&gt;Krane&lt;/Author&gt;&lt;Year&gt;2009&lt;/Year&gt;&lt;RecNum&gt;9&lt;/RecNum&gt;&lt;DisplayText&gt;(9)&lt;/DisplayText&gt;&lt;record&gt;&lt;rec-number&gt;9&lt;/rec-number&gt;&lt;foreign-keys&gt;&lt;key app="EN" db-id="xzrd9vwasasfetevdw650faezp0zp0wddw95" timestamp="1753101994"&gt;9&lt;/key&gt;&lt;/foreign-keys&gt;&lt;ref-type name="Journal Article"&gt;17&lt;/ref-type&gt;&lt;contributors&gt;&lt;authors&gt;&lt;author&gt;Krane, Vera&lt;/author&gt;&lt;author&gt;Heinrich, Fritz&lt;/author&gt;&lt;author&gt;Meesmann, Malte&lt;/author&gt;&lt;author&gt;Olschewski, Manfred&lt;/author&gt;&lt;author&gt;Angermann, Christiane&lt;/author&gt;&lt;author&gt;Sto, Stefan&lt;/author&gt;&lt;author&gt;Bauersachs, Johann&lt;/author&gt;&lt;author&gt;Wanner, Christoph&lt;/author&gt;&lt;author&gt;Frantz, Stefan&lt;/author&gt;&lt;author&gt;German Diabetes&lt;/author&gt;&lt;author&gt;Dialysis Study Investigators&lt;/author&gt;&lt;/authors&gt;&lt;/contributors&gt;&lt;titles&gt;&lt;title&gt;Electrocardiography and outcome in patients with diabetes mellitus on maintenance hemodialysis&lt;/title&gt;&lt;secondary-title&gt;J Am Soc Nephrol &lt;/secondary-title&gt;&lt;/titles&gt;&lt;pages&gt;&lt;style face="normal" font="default" size="100%"&gt;394-&lt;/style&gt;&lt;style face="normal" font="default" charset="178" size="100%"&gt;399&lt;/style&gt;&lt;/pages&gt;&lt;volume&gt;4&lt;/volume&gt;&lt;number&gt;2&lt;/number&gt;&lt;dates&gt;&lt;year&gt;2009&lt;/year&gt;&lt;/dates&gt;&lt;isbn&gt;1555-9041&lt;/isbn&gt;&lt;urls&gt;&lt;/urls&gt;&lt;/record&gt;&lt;/Cite&gt;&lt;/EndNote&gt;</w:instrText>
      </w:r>
      <w:r w:rsidR="002F510C">
        <w:fldChar w:fldCharType="separate"/>
      </w:r>
      <w:r w:rsidR="00A12153">
        <w:rPr>
          <w:noProof/>
        </w:rPr>
        <w:t>(9)</w:t>
      </w:r>
      <w:r w:rsidR="002F510C">
        <w:fldChar w:fldCharType="end"/>
      </w:r>
      <w:r w:rsidR="002F510C">
        <w:t>.</w:t>
      </w:r>
    </w:p>
    <w:p w14:paraId="5482DBF5" w14:textId="37FE4C2E" w:rsidR="0040421D" w:rsidRPr="00B961E1" w:rsidRDefault="002F36D1" w:rsidP="004B2F14">
      <w:pPr>
        <w:pStyle w:val="P"/>
      </w:pPr>
      <w:r w:rsidRPr="00B961E1">
        <w:rPr>
          <w:b/>
          <w:bCs/>
        </w:rPr>
        <w:t>Approval code</w:t>
      </w:r>
      <w:r w:rsidR="0040421D" w:rsidRPr="00B961E1">
        <w:rPr>
          <w:b/>
          <w:bCs/>
        </w:rPr>
        <w:t>:</w:t>
      </w:r>
      <w:r w:rsidR="0040421D" w:rsidRPr="00B961E1">
        <w:t xml:space="preserve"> </w:t>
      </w:r>
      <w:r w:rsidR="000A7323" w:rsidRPr="00B961E1">
        <w:t>MD 16-12-2021</w:t>
      </w:r>
    </w:p>
    <w:p w14:paraId="71C973FB" w14:textId="1F041702" w:rsidR="007E2F24" w:rsidRPr="002F510C" w:rsidRDefault="007E2F24" w:rsidP="008552CF">
      <w:pPr>
        <w:pStyle w:val="P"/>
        <w:rPr>
          <w:b/>
          <w:bCs/>
        </w:rPr>
      </w:pPr>
      <w:r w:rsidRPr="002F510C">
        <w:rPr>
          <w:b/>
          <w:bCs/>
        </w:rPr>
        <w:t xml:space="preserve">Statistical analysis </w:t>
      </w:r>
    </w:p>
    <w:p w14:paraId="649C2206" w14:textId="231504C1" w:rsidR="00FD18AE" w:rsidRDefault="00FD18AE" w:rsidP="00756A73">
      <w:pPr>
        <w:spacing w:before="240" w:after="0" w:line="240" w:lineRule="auto"/>
        <w:jc w:val="lowKashida"/>
        <w:rPr>
          <w:rFonts w:asciiTheme="majorBidi" w:eastAsia="Times New Roman" w:hAnsiTheme="majorBidi" w:cstheme="majorBidi"/>
          <w:sz w:val="24"/>
          <w:szCs w:val="24"/>
          <w:lang w:eastAsia="de-DE"/>
        </w:rPr>
      </w:pPr>
      <w:r w:rsidRPr="00FD18AE">
        <w:rPr>
          <w:rFonts w:asciiTheme="majorBidi" w:eastAsia="Times New Roman" w:hAnsiTheme="majorBidi" w:cstheme="majorBidi"/>
          <w:sz w:val="24"/>
          <w:szCs w:val="24"/>
          <w:lang w:eastAsia="de-DE"/>
        </w:rPr>
        <w:t>The data was compiled, coded, and entered into a spreadsheet using Excel 2016 for Windows, a component of the Microsoft Office suite 2016 developed by Microsoft Corporation in the United States.  IBM Corp. in Armonk, New York, published IBM SPSS Statistics for Windows, Version 26.0, for data analysis in this study.  The Kolmogorov-Smirnov test was implemented to guarantee that the distribution was normal.  Continuous data was rendered as the mean ± standard deviation, median, correlation coefficient, and interquartile range, while categorical data was represented as numbers and percentages.  We considered a statistical value of less than 0.05 to be significant.</w:t>
      </w:r>
    </w:p>
    <w:p w14:paraId="31B11401" w14:textId="78475BDD" w:rsidR="007C4AF4" w:rsidRPr="00EF3D21" w:rsidRDefault="007C4AF4" w:rsidP="00ED1E3C">
      <w:pPr>
        <w:spacing w:before="240" w:after="0" w:line="240" w:lineRule="auto"/>
        <w:jc w:val="lowKashida"/>
        <w:rPr>
          <w:rFonts w:asciiTheme="majorBidi" w:hAnsiTheme="majorBidi" w:cstheme="majorBidi"/>
          <w:b/>
          <w:bCs/>
          <w:sz w:val="24"/>
          <w:szCs w:val="24"/>
          <w:u w:val="single"/>
          <w:lang w:val="en-GB"/>
        </w:rPr>
      </w:pPr>
      <w:r w:rsidRPr="00EF3D21">
        <w:rPr>
          <w:rFonts w:asciiTheme="majorBidi" w:hAnsiTheme="majorBidi" w:cstheme="majorBidi"/>
          <w:b/>
          <w:bCs/>
          <w:sz w:val="24"/>
          <w:szCs w:val="24"/>
          <w:u w:val="single"/>
          <w:lang w:val="en-GB"/>
        </w:rPr>
        <w:t>Results</w:t>
      </w:r>
    </w:p>
    <w:p w14:paraId="4C80F347" w14:textId="33B4C97E" w:rsidR="00FC039A" w:rsidRPr="00EF3D21" w:rsidRDefault="00C36030" w:rsidP="00C36030">
      <w:pPr>
        <w:pStyle w:val="P"/>
      </w:pPr>
      <w:bookmarkStart w:id="2" w:name="_Ref132084226"/>
      <w:bookmarkStart w:id="3" w:name="_Ref132086909"/>
      <w:r w:rsidRPr="00EF3D21">
        <w:rPr>
          <w:lang w:bidi="ar-EG"/>
        </w:rPr>
        <w:t xml:space="preserve">There was a significant association between gender distribution and post -HB /Pre-HB  ratio (p &lt; 0.001), with males being predominant in groups 2, 3, and 4, while females were mainly in Group 1. Additionally, age showed a significant increasing trend across the </w:t>
      </w:r>
      <w:r w:rsidRPr="00EF3D21">
        <w:rPr>
          <w:lang w:bidi="ar-EG"/>
        </w:rPr>
        <w:lastRenderedPageBreak/>
        <w:t>groups (p &lt; 0.001), with post-hoc comparisons revealing significant differences between most groups except between Groups 3 and 4</w:t>
      </w:r>
      <w:r w:rsidR="00FC039A" w:rsidRPr="00EF3D21">
        <w:rPr>
          <w:lang w:bidi="ar-EG"/>
        </w:rPr>
        <w:t>.</w:t>
      </w:r>
      <w:r w:rsidRPr="00EF3D21">
        <w:t xml:space="preserve"> </w:t>
      </w:r>
      <w:r w:rsidRPr="00EF3D21">
        <w:rPr>
          <w:lang w:bidi="ar-EG"/>
        </w:rPr>
        <w:t xml:space="preserve">There was a significant association between the causes of CKD and the post -HB /Pre-HB ratio groups </w:t>
      </w:r>
      <w:r w:rsidRPr="007318EA">
        <w:rPr>
          <w:lang w:bidi="ar-EG"/>
        </w:rPr>
        <w:t xml:space="preserve">(p&lt; 0.001), with polycystic kidney disease (PCK) becoming more prevalent as post -HB /Pre-HB ratio increases, while </w:t>
      </w:r>
      <w:bookmarkStart w:id="4" w:name="_Hlk203987535"/>
      <w:r w:rsidRPr="007318EA">
        <w:rPr>
          <w:lang w:bidi="ar-EG"/>
        </w:rPr>
        <w:t>SLE</w:t>
      </w:r>
      <w:bookmarkEnd w:id="4"/>
      <w:r w:rsidRPr="007318EA">
        <w:rPr>
          <w:lang w:bidi="ar-EG"/>
        </w:rPr>
        <w:t xml:space="preserve"> and diabetic nephropathy are predominantly found in Group 1. HTN is a major cause across all groups, particularly in Groups 3 and 4. Similarly, underlying diseases show a significant correlation with post -HB /Pre-HB  ratio groups (p&lt; 0.001), with coronary artery disease more frequent in groups 2, while DM and hyperlipidemia are concentrated in group 1. There were a significant association between </w:t>
      </w:r>
      <w:r w:rsidR="00096CE7" w:rsidRPr="007318EA">
        <w:rPr>
          <w:lang w:bidi="ar-EG"/>
        </w:rPr>
        <w:t>HD</w:t>
      </w:r>
      <w:r w:rsidRPr="007318EA">
        <w:rPr>
          <w:lang w:bidi="ar-EG"/>
        </w:rPr>
        <w:t xml:space="preserve"> duration, post-dialysis weight loss, BMI, and ultrafiltration rate with changes in post-HB /Pre-HB ratio, (p&lt;0.001). Patients with higher post-HB /Pre-HB ratio (≥1.2) had longer </w:t>
      </w:r>
      <w:r w:rsidR="00096CE7" w:rsidRPr="007318EA">
        <w:rPr>
          <w:lang w:bidi="ar-EG"/>
        </w:rPr>
        <w:t>HD</w:t>
      </w:r>
      <w:r w:rsidRPr="007318EA">
        <w:rPr>
          <w:lang w:bidi="ar-EG"/>
        </w:rPr>
        <w:t xml:space="preserve"> duration (median 12.0 hours), greater post-dialysis weight loss (median 5.0 kg), lower BMI (median 18.8</w:t>
      </w:r>
      <w:r w:rsidRPr="00C36030">
        <w:rPr>
          <w:lang w:bidi="ar-EG"/>
        </w:rPr>
        <w:t xml:space="preserve"> kg/m²), and higher ultrafiltration rates (median 5.0 L/h). Pairwise </w:t>
      </w:r>
      <w:r w:rsidRPr="00EF3D21">
        <w:rPr>
          <w:lang w:bidi="ar-EG"/>
        </w:rPr>
        <w:t>comparisons revealed significant differences among most groups, except for some non-significant comparisons (e.g., between group 3&amp;4 in BMI and post-dialysis weight loss).</w:t>
      </w:r>
      <w:r w:rsidR="00FC039A" w:rsidRPr="00EF3D21">
        <w:rPr>
          <w:lang w:bidi="ar-EG"/>
        </w:rPr>
        <w:t xml:space="preserve"> </w:t>
      </w:r>
      <w:r w:rsidR="00FC039A" w:rsidRPr="00EF3D21">
        <w:rPr>
          <w:b/>
          <w:bCs/>
          <w:lang w:bidi="ar-EG"/>
        </w:rPr>
        <w:t>Table 1</w:t>
      </w:r>
    </w:p>
    <w:p w14:paraId="7FCD6FF0" w14:textId="4829B479" w:rsidR="00FC039A" w:rsidRPr="000C6CB0" w:rsidRDefault="00423FA0" w:rsidP="000C6CB0">
      <w:pPr>
        <w:pStyle w:val="P"/>
        <w:rPr>
          <w:highlight w:val="yellow"/>
          <w:lang w:val="en-GB" w:eastAsia="en-GB" w:bidi="ar-EG"/>
        </w:rPr>
      </w:pPr>
      <w:r w:rsidRPr="00EF3D21">
        <w:rPr>
          <w:lang w:val="en-GB" w:eastAsia="en-GB" w:bidi="ar-EG"/>
        </w:rPr>
        <w:t>Group 1 and group 4 showed a statistically significant decrease in left ventricular</w:t>
      </w:r>
      <w:r w:rsidRPr="00423FA0">
        <w:rPr>
          <w:lang w:val="en-GB" w:eastAsia="en-GB" w:bidi="ar-EG"/>
        </w:rPr>
        <w:t xml:space="preserve"> ejection fraction (LVEF) over time (at the 6-month, 1-year, and 1.5-year time points compared to baseline).</w:t>
      </w:r>
      <w:r>
        <w:rPr>
          <w:lang w:val="en-GB" w:eastAsia="en-GB" w:bidi="ar-EG"/>
        </w:rPr>
        <w:t xml:space="preserve"> </w:t>
      </w:r>
      <w:r w:rsidRPr="00423FA0">
        <w:rPr>
          <w:lang w:val="en-GB" w:eastAsia="en-GB" w:bidi="ar-EG"/>
        </w:rPr>
        <w:t>Group 1 had the lowest LVEF values across all time points and showed the most significant reduction in LVEF compared to other groups followed by group 4.</w:t>
      </w:r>
      <w:r>
        <w:rPr>
          <w:lang w:val="en-GB" w:eastAsia="en-GB" w:bidi="ar-EG"/>
        </w:rPr>
        <w:t xml:space="preserve"> </w:t>
      </w:r>
      <w:r w:rsidRPr="00423FA0">
        <w:rPr>
          <w:lang w:val="en-GB" w:eastAsia="en-GB" w:bidi="ar-EG"/>
        </w:rPr>
        <w:t>Unlike, Group 2 and group 3 showed a statistically significant increase in LVEF, particularly between baseline and 1.5 years</w:t>
      </w:r>
      <w:r>
        <w:rPr>
          <w:lang w:val="en-GB" w:eastAsia="en-GB" w:bidi="ar-EG"/>
        </w:rPr>
        <w:t xml:space="preserve">. </w:t>
      </w:r>
      <w:r w:rsidRPr="00423FA0">
        <w:rPr>
          <w:lang w:val="en-GB" w:eastAsia="en-GB" w:bidi="ar-EG"/>
        </w:rPr>
        <w:t>At baseline, there was significant difference between the four groups regarding LVEF as group 4 had significantly higher LVEF than group 1 and group 3. At 6 months, group 1 showed the most significant drop in LVEF compared to group 2, group 3, and group 4.</w:t>
      </w:r>
      <w:r>
        <w:rPr>
          <w:lang w:val="en-GB" w:eastAsia="en-GB" w:bidi="ar-EG"/>
        </w:rPr>
        <w:t xml:space="preserve"> </w:t>
      </w:r>
      <w:r w:rsidRPr="00423FA0">
        <w:rPr>
          <w:lang w:val="en-GB" w:eastAsia="en-GB" w:bidi="ar-EG"/>
        </w:rPr>
        <w:t xml:space="preserve">Group 1 and group 4 showed a statistically significant decrease in LVEF over time (at the 6-month, 1-year, and 1.5-year time points </w:t>
      </w:r>
      <w:r w:rsidRPr="00EF3D21">
        <w:rPr>
          <w:lang w:val="en-GB" w:eastAsia="en-GB" w:bidi="ar-EG"/>
        </w:rPr>
        <w:t>compared to baseline). Group 1 had the lowest LVEF values across all time points and showed the most significant reduction in LVEF compared to other groups followed by group 4.</w:t>
      </w:r>
      <w:r w:rsidR="000C6CB0" w:rsidRPr="00EF3D21">
        <w:rPr>
          <w:lang w:val="en-GB" w:eastAsia="en-GB" w:bidi="ar-EG"/>
        </w:rPr>
        <w:t xml:space="preserve"> </w:t>
      </w:r>
      <w:r w:rsidR="00FC039A" w:rsidRPr="00EF3D21">
        <w:rPr>
          <w:b/>
          <w:bCs/>
          <w:lang w:val="en-GB" w:eastAsia="en-GB" w:bidi="ar-EG"/>
        </w:rPr>
        <w:t>Table 2</w:t>
      </w:r>
    </w:p>
    <w:p w14:paraId="074C4CDE" w14:textId="62F00353" w:rsidR="00FC039A" w:rsidRPr="00EF3D21" w:rsidRDefault="000C6CB0" w:rsidP="000C6CB0">
      <w:pPr>
        <w:pStyle w:val="P"/>
        <w:rPr>
          <w:lang w:val="en-GB" w:bidi="ar-EG"/>
        </w:rPr>
      </w:pPr>
      <w:r w:rsidRPr="000C6CB0">
        <w:rPr>
          <w:lang w:val="en-GB" w:eastAsia="en-GB" w:bidi="ar-EG"/>
        </w:rPr>
        <w:t>There was no statistically significant difference in prevalence of myocardial affection among the four groups (p&gt;0.05). Group D showed a slightly higher proportion of myocardial affection (33.3%) compared to the other groups (each at 20.0%)</w:t>
      </w:r>
      <w:r>
        <w:rPr>
          <w:lang w:val="en-GB" w:eastAsia="en-GB" w:bidi="ar-EG"/>
        </w:rPr>
        <w:t>.</w:t>
      </w:r>
      <w:r w:rsidRPr="000C6CB0">
        <w:t xml:space="preserve"> </w:t>
      </w:r>
      <w:r w:rsidRPr="000C6CB0">
        <w:rPr>
          <w:lang w:val="en-GB" w:eastAsia="en-GB" w:bidi="ar-EG"/>
        </w:rPr>
        <w:t>There was a statistically significant association between post Hb/</w:t>
      </w:r>
      <w:proofErr w:type="spellStart"/>
      <w:r w:rsidRPr="000C6CB0">
        <w:rPr>
          <w:lang w:val="en-GB" w:eastAsia="en-GB" w:bidi="ar-EG"/>
        </w:rPr>
        <w:t>preHb</w:t>
      </w:r>
      <w:proofErr w:type="spellEnd"/>
      <w:r w:rsidRPr="000C6CB0">
        <w:rPr>
          <w:lang w:val="en-GB" w:eastAsia="en-GB" w:bidi="ar-EG"/>
        </w:rPr>
        <w:t xml:space="preserve"> ratio and myocardial injury (p= 0.005). Groups with a smaller post Hb/</w:t>
      </w:r>
      <w:proofErr w:type="spellStart"/>
      <w:r w:rsidRPr="000C6CB0">
        <w:rPr>
          <w:lang w:val="en-GB" w:eastAsia="en-GB" w:bidi="ar-EG"/>
        </w:rPr>
        <w:t>preHb</w:t>
      </w:r>
      <w:proofErr w:type="spellEnd"/>
      <w:r w:rsidRPr="000C6CB0">
        <w:rPr>
          <w:lang w:val="en-GB" w:eastAsia="en-GB" w:bidi="ar-EG"/>
        </w:rPr>
        <w:t xml:space="preserve"> ratio (Groups 2 and 3) exhibited a notably lower incidence of myocardial affection (10.5% and 13.6%, respectively), whereas Groups 1 and 4, with the </w:t>
      </w:r>
      <w:r w:rsidRPr="00EF3D21">
        <w:rPr>
          <w:lang w:val="en-GB" w:eastAsia="en-GB" w:bidi="ar-EG"/>
        </w:rPr>
        <w:t>lowest (&lt;1) and highest (≥1.2) post Hb/</w:t>
      </w:r>
      <w:proofErr w:type="spellStart"/>
      <w:r w:rsidRPr="00EF3D21">
        <w:rPr>
          <w:lang w:val="en-GB" w:eastAsia="en-GB" w:bidi="ar-EG"/>
        </w:rPr>
        <w:t>preHb</w:t>
      </w:r>
      <w:proofErr w:type="spellEnd"/>
      <w:r w:rsidRPr="00EF3D21">
        <w:rPr>
          <w:lang w:val="en-GB" w:eastAsia="en-GB" w:bidi="ar-EG"/>
        </w:rPr>
        <w:t xml:space="preserve"> ratio values, had significantly higher rates (40.0% and 45.0%, respectively). </w:t>
      </w:r>
      <w:r w:rsidR="00FC039A" w:rsidRPr="00EF3D21">
        <w:rPr>
          <w:b/>
          <w:bCs/>
          <w:lang w:val="en-GB" w:bidi="ar-EG"/>
        </w:rPr>
        <w:t>Table 3</w:t>
      </w:r>
    </w:p>
    <w:p w14:paraId="152D8BBC" w14:textId="7CD3DF18" w:rsidR="00FC039A" w:rsidRPr="00EF3D21" w:rsidRDefault="00C36030" w:rsidP="00FC039A">
      <w:pPr>
        <w:pStyle w:val="P"/>
      </w:pPr>
      <w:r w:rsidRPr="00EF3D21">
        <w:rPr>
          <w:lang w:bidi="ar-EG"/>
        </w:rPr>
        <w:t xml:space="preserve">There was statistically significant elevation in </w:t>
      </w:r>
      <w:proofErr w:type="spellStart"/>
      <w:r w:rsidRPr="00EF3D21">
        <w:rPr>
          <w:lang w:bidi="ar-EG"/>
        </w:rPr>
        <w:t>hs-cTnT</w:t>
      </w:r>
      <w:proofErr w:type="spellEnd"/>
      <w:r w:rsidRPr="00EF3D21">
        <w:rPr>
          <w:lang w:bidi="ar-EG"/>
        </w:rPr>
        <w:t xml:space="preserve">, </w:t>
      </w:r>
      <w:proofErr w:type="spellStart"/>
      <w:r w:rsidRPr="00EF3D21">
        <w:rPr>
          <w:lang w:bidi="ar-EG"/>
        </w:rPr>
        <w:t>hs-cTnI</w:t>
      </w:r>
      <w:proofErr w:type="spellEnd"/>
      <w:r w:rsidRPr="00EF3D21">
        <w:rPr>
          <w:lang w:bidi="ar-EG"/>
        </w:rPr>
        <w:t xml:space="preserve">, and CK-MB both before and after </w:t>
      </w:r>
      <w:r w:rsidR="00096CE7" w:rsidRPr="00096CE7">
        <w:rPr>
          <w:lang w:bidi="ar-EG"/>
        </w:rPr>
        <w:t>HD</w:t>
      </w:r>
      <w:r w:rsidRPr="00EF3D21">
        <w:rPr>
          <w:lang w:bidi="ar-EG"/>
        </w:rPr>
        <w:t xml:space="preserve"> in patients with myocardial affection compared to those without (p&lt; 0.001 for all comparisons).</w:t>
      </w:r>
      <w:r w:rsidR="00FC039A" w:rsidRPr="00EF3D21">
        <w:rPr>
          <w:lang w:bidi="ar-EG"/>
        </w:rPr>
        <w:t xml:space="preserve"> </w:t>
      </w:r>
      <w:r w:rsidR="00FC039A" w:rsidRPr="00EF3D21">
        <w:rPr>
          <w:b/>
          <w:bCs/>
          <w:lang w:bidi="ar-EG"/>
        </w:rPr>
        <w:t>Table 4</w:t>
      </w:r>
    </w:p>
    <w:p w14:paraId="0F566FC9" w14:textId="7A8DCA31" w:rsidR="00FC039A" w:rsidRPr="00DF16A5" w:rsidRDefault="00C36030" w:rsidP="00FC039A">
      <w:pPr>
        <w:pStyle w:val="P"/>
        <w:rPr>
          <w:b/>
          <w:bCs/>
          <w:highlight w:val="yellow"/>
          <w:lang w:val="en-GB" w:bidi="ar-EG"/>
        </w:rPr>
      </w:pPr>
      <w:r w:rsidRPr="00EF3D21">
        <w:rPr>
          <w:b/>
          <w:bCs/>
          <w:lang w:val="en-GB" w:bidi="ar-EG"/>
        </w:rPr>
        <w:t xml:space="preserve">Table 5, Figure 1 </w:t>
      </w:r>
      <w:r w:rsidRPr="00EF3D21">
        <w:rPr>
          <w:lang w:val="en-GB" w:bidi="ar-EG"/>
        </w:rPr>
        <w:t xml:space="preserve">illustrate the diagnostic performance of </w:t>
      </w:r>
      <w:proofErr w:type="spellStart"/>
      <w:r w:rsidRPr="00EF3D21">
        <w:rPr>
          <w:lang w:val="en-GB" w:bidi="ar-EG"/>
        </w:rPr>
        <w:t>hs-cTnT</w:t>
      </w:r>
      <w:proofErr w:type="spellEnd"/>
      <w:r w:rsidRPr="00EF3D21">
        <w:rPr>
          <w:lang w:val="en-GB" w:bidi="ar-EG"/>
        </w:rPr>
        <w:t xml:space="preserve">, </w:t>
      </w:r>
      <w:proofErr w:type="spellStart"/>
      <w:r w:rsidRPr="00EF3D21">
        <w:rPr>
          <w:lang w:val="en-GB" w:bidi="ar-EG"/>
        </w:rPr>
        <w:t>hs-cTnI</w:t>
      </w:r>
      <w:proofErr w:type="spellEnd"/>
      <w:r w:rsidRPr="00EF3D21">
        <w:rPr>
          <w:lang w:val="en-GB" w:bidi="ar-EG"/>
        </w:rPr>
        <w:t>, and CK-MB in detecting myocardial injury. Among</w:t>
      </w:r>
      <w:r w:rsidRPr="00C36030">
        <w:rPr>
          <w:lang w:val="en-GB" w:bidi="ar-EG"/>
        </w:rPr>
        <w:t xml:space="preserve"> the markers, </w:t>
      </w:r>
      <w:proofErr w:type="spellStart"/>
      <w:r w:rsidRPr="00C36030">
        <w:rPr>
          <w:lang w:val="en-GB" w:bidi="ar-EG"/>
        </w:rPr>
        <w:t>hs-cTnT</w:t>
      </w:r>
      <w:proofErr w:type="spellEnd"/>
      <w:r w:rsidRPr="00C36030">
        <w:rPr>
          <w:lang w:val="en-GB" w:bidi="ar-EG"/>
        </w:rPr>
        <w:t xml:space="preserve"> at a cut-off of 12 demonstrated the highest diagnostic accuracy, with the greatest AUC (0.808), balanced sensitivity (75%) and specificity (81.6%), and a high NPV (91.2%), making it a reliable tool for ruling out myocardial injury. </w:t>
      </w:r>
      <w:proofErr w:type="spellStart"/>
      <w:r w:rsidRPr="00C36030">
        <w:rPr>
          <w:lang w:val="en-GB" w:bidi="ar-EG"/>
        </w:rPr>
        <w:t>hs-cTnI</w:t>
      </w:r>
      <w:proofErr w:type="spellEnd"/>
      <w:r w:rsidRPr="00C36030">
        <w:rPr>
          <w:lang w:val="en-GB" w:bidi="ar-EG"/>
        </w:rPr>
        <w:t xml:space="preserve"> at a cut-off of 8.9 showed a slightly lower </w:t>
      </w:r>
      <w:r w:rsidRPr="00C36030">
        <w:rPr>
          <w:lang w:val="en-GB" w:bidi="ar-EG"/>
        </w:rPr>
        <w:lastRenderedPageBreak/>
        <w:t xml:space="preserve">AUC (0.796) and specificity (78.9%), with comparable sensitivity (75%) and NPV (90.9%), suggesting it is also effective, though slightly less so than </w:t>
      </w:r>
      <w:proofErr w:type="spellStart"/>
      <w:r w:rsidRPr="00C36030">
        <w:rPr>
          <w:lang w:val="en-GB" w:bidi="ar-EG"/>
        </w:rPr>
        <w:t>hs-cTnT</w:t>
      </w:r>
      <w:proofErr w:type="spellEnd"/>
      <w:r w:rsidRPr="00C36030">
        <w:rPr>
          <w:lang w:val="en-GB" w:bidi="ar-EG"/>
        </w:rPr>
        <w:t>. CK-MB, while achieving perfect specificity and PPV (100%) at a cut-off of 23.5, had markedly low sensitivity (41.7%).</w:t>
      </w:r>
      <w:r w:rsidR="00FC039A" w:rsidRPr="00DF16A5">
        <w:rPr>
          <w:highlight w:val="yellow"/>
          <w:lang w:val="en-GB" w:bidi="ar-EG"/>
        </w:rPr>
        <w:t xml:space="preserve"> </w:t>
      </w:r>
    </w:p>
    <w:bookmarkEnd w:id="2"/>
    <w:bookmarkEnd w:id="3"/>
    <w:p w14:paraId="6E3D4539" w14:textId="2E239A1E" w:rsidR="00E93B95" w:rsidRPr="00A12153" w:rsidRDefault="00E93B95" w:rsidP="00ED1E3C">
      <w:pPr>
        <w:spacing w:before="240" w:after="0" w:line="240" w:lineRule="auto"/>
        <w:rPr>
          <w:rFonts w:asciiTheme="majorBidi" w:hAnsiTheme="majorBidi" w:cstheme="majorBidi"/>
          <w:b/>
          <w:bCs/>
          <w:sz w:val="24"/>
          <w:szCs w:val="24"/>
          <w:u w:val="single"/>
        </w:rPr>
      </w:pPr>
      <w:r w:rsidRPr="00A12153">
        <w:rPr>
          <w:rFonts w:asciiTheme="majorBidi" w:hAnsiTheme="majorBidi" w:cstheme="majorBidi"/>
          <w:b/>
          <w:bCs/>
          <w:sz w:val="24"/>
          <w:szCs w:val="24"/>
          <w:u w:val="single"/>
        </w:rPr>
        <w:t>Discussion</w:t>
      </w:r>
    </w:p>
    <w:p w14:paraId="6DB049CB" w14:textId="6651A107" w:rsidR="007822D1" w:rsidRPr="00A12153" w:rsidRDefault="007822D1" w:rsidP="007822D1">
      <w:pPr>
        <w:pStyle w:val="P"/>
      </w:pPr>
      <w:bookmarkStart w:id="5" w:name="_Hlk203581869"/>
      <w:r w:rsidRPr="00A12153">
        <w:t xml:space="preserve">CKD represents a global health challenge, particularly in its end-stage form (ESRD), requiring renal replacement therapy. </w:t>
      </w:r>
      <w:r w:rsidR="00FD18AE" w:rsidRPr="00FD18AE">
        <w:t xml:space="preserve">Cardiovascular morbidity and mortality are </w:t>
      </w:r>
      <w:r w:rsidR="0076047B" w:rsidRPr="0076047B">
        <w:t>significant</w:t>
      </w:r>
      <w:r w:rsidR="0076047B">
        <w:t xml:space="preserve"> </w:t>
      </w:r>
      <w:r w:rsidR="00FD18AE" w:rsidRPr="00FD18AE">
        <w:t>among patients who are undergoing maintenance hemodialysis, with approximately 50% of fatalities attributable to cardiovascular causes.  The optimal approach to monitoring and preventing cardiovascular complications remains elusive, despite advancements in anemia management and dialysis technology</w:t>
      </w:r>
      <w:r w:rsidR="00124BE9">
        <w:t xml:space="preserve"> </w:t>
      </w:r>
      <w:r w:rsidRPr="00DE46B5">
        <w:rPr>
          <w:vertAlign w:val="superscript"/>
        </w:rPr>
        <w:fldChar w:fldCharType="begin"/>
      </w:r>
      <w:r w:rsidR="007C3A5C" w:rsidRPr="00DE46B5">
        <w:rPr>
          <w:vertAlign w:val="superscript"/>
        </w:rPr>
        <w:instrText xml:space="preserve"> ADDIN EN.CITE &lt;EndNote&gt;&lt;Cite&gt;&lt;Author&gt;Bello&lt;/Author&gt;&lt;Year&gt;2022&lt;/Year&gt;&lt;RecNum&gt;10&lt;/RecNum&gt;&lt;DisplayText&gt;(10)&lt;/DisplayText&gt;&lt;record&gt;&lt;rec-number&gt;10&lt;/rec-number&gt;&lt;foreign-keys&gt;&lt;key app="EN" db-id="xzrd9vwasasfetevdw650faezp0zp0wddw95" timestamp="1753101994"&gt;10&lt;/key&gt;&lt;/foreign-keys&gt;&lt;ref-type name="Journal Article"&gt;17&lt;/ref-type&gt;&lt;contributors&gt;&lt;authors&gt;&lt;author&gt;Bello, Aminu K&lt;/author&gt;&lt;author&gt;Okpechi, Ikechi G&lt;/author&gt;&lt;author&gt;Osman, Mohamed A&lt;/author&gt;&lt;author&gt;Cho, Yeoungjee&lt;/author&gt;&lt;author&gt;Htay, Htay&lt;/author&gt;&lt;author&gt;Jha, Vivekanand&lt;/author&gt;&lt;author&gt;Wainstein, Marina&lt;/author&gt;&lt;author&gt;Johnson, David W&lt;/author&gt;&lt;/authors&gt;&lt;/contributors&gt;&lt;titles&gt;&lt;title&gt;Epidemiology of haemodialysis outcomes&lt;/title&gt;&lt;secondary-title&gt;Nat Rev Nephrol&lt;/secondary-title&gt;&lt;/titles&gt;&lt;periodical&gt;&lt;full-title&gt;Nat Rev Nephrol&lt;/full-title&gt;&lt;/periodical&gt;&lt;pages&gt;378-395&lt;/pages&gt;&lt;volume&gt;18&lt;/volume&gt;&lt;number&gt;6&lt;/number&gt;&lt;dates&gt;&lt;year&gt;2022&lt;/year&gt;&lt;/dates&gt;&lt;isbn&gt;1759-5061&lt;/isbn&gt;&lt;urls&gt;&lt;/urls&gt;&lt;/record&gt;&lt;/Cite&gt;&lt;/EndNote&gt;</w:instrText>
      </w:r>
      <w:r w:rsidRPr="00DE46B5">
        <w:rPr>
          <w:vertAlign w:val="superscript"/>
        </w:rPr>
        <w:fldChar w:fldCharType="separate"/>
      </w:r>
      <w:r w:rsidR="00A12153" w:rsidRPr="00DE46B5">
        <w:rPr>
          <w:noProof/>
          <w:vertAlign w:val="superscript"/>
        </w:rPr>
        <w:t>(10)</w:t>
      </w:r>
      <w:r w:rsidRPr="00DE46B5">
        <w:rPr>
          <w:vertAlign w:val="superscript"/>
        </w:rPr>
        <w:fldChar w:fldCharType="end"/>
      </w:r>
      <w:r w:rsidRPr="00A12153">
        <w:t xml:space="preserve">. </w:t>
      </w:r>
      <w:r w:rsidR="00124BE9" w:rsidRPr="00124BE9">
        <w:t>In this vulnerable population, the dynamic fluctuations in hemoglobin levels during hemodialysis sessions have been identified as a potential indicator of cardiovascular risk</w:t>
      </w:r>
      <w:r w:rsidR="00124BE9">
        <w:t xml:space="preserve"> </w:t>
      </w:r>
      <w:r w:rsidR="00A12153" w:rsidRPr="00DE46B5">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DE46B5">
        <w:rPr>
          <w:vertAlign w:val="superscript"/>
        </w:rPr>
        <w:instrText xml:space="preserve"> ADDIN EN.CITE </w:instrText>
      </w:r>
      <w:r w:rsidR="007C3A5C" w:rsidRPr="00DE46B5">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DE46B5">
        <w:rPr>
          <w:vertAlign w:val="superscript"/>
        </w:rPr>
        <w:instrText xml:space="preserve"> ADDIN EN.CITE.DATA </w:instrText>
      </w:r>
      <w:r w:rsidR="007C3A5C" w:rsidRPr="00DE46B5">
        <w:rPr>
          <w:vertAlign w:val="superscript"/>
        </w:rPr>
      </w:r>
      <w:r w:rsidR="007C3A5C" w:rsidRPr="00DE46B5">
        <w:rPr>
          <w:vertAlign w:val="superscript"/>
        </w:rPr>
        <w:fldChar w:fldCharType="end"/>
      </w:r>
      <w:r w:rsidR="00A12153" w:rsidRPr="00DE46B5">
        <w:rPr>
          <w:vertAlign w:val="superscript"/>
        </w:rPr>
      </w:r>
      <w:r w:rsidR="00A12153" w:rsidRPr="00DE46B5">
        <w:rPr>
          <w:vertAlign w:val="superscript"/>
        </w:rPr>
        <w:fldChar w:fldCharType="separate"/>
      </w:r>
      <w:r w:rsidR="00A12153" w:rsidRPr="00DE46B5">
        <w:rPr>
          <w:noProof/>
          <w:vertAlign w:val="superscript"/>
        </w:rPr>
        <w:t>(1)</w:t>
      </w:r>
      <w:r w:rsidR="00A12153" w:rsidRPr="00DE46B5">
        <w:rPr>
          <w:vertAlign w:val="superscript"/>
        </w:rPr>
        <w:fldChar w:fldCharType="end"/>
      </w:r>
      <w:r w:rsidRPr="00A12153">
        <w:t>.</w:t>
      </w:r>
    </w:p>
    <w:p w14:paraId="13CEC4DE" w14:textId="77777777" w:rsidR="007822D1" w:rsidRPr="00A12153" w:rsidRDefault="007822D1" w:rsidP="007822D1">
      <w:pPr>
        <w:pStyle w:val="P"/>
      </w:pPr>
      <w:bookmarkStart w:id="6" w:name="_Hlk203641557"/>
      <w:bookmarkEnd w:id="5"/>
      <w:r w:rsidRPr="00A12153">
        <w:t>When examining the relationship between gender and post/pre-dialysis hemoglobin ratio, we found a striking association with males dominating in groups with higher Post HB/</w:t>
      </w:r>
      <w:proofErr w:type="spellStart"/>
      <w:r w:rsidRPr="00A12153">
        <w:t>PreHB</w:t>
      </w:r>
      <w:proofErr w:type="spellEnd"/>
      <w:r w:rsidRPr="00A12153">
        <w:t xml:space="preserve"> ratio values (≥1.1), while females were predominantly in the group with Post HB/</w:t>
      </w:r>
      <w:proofErr w:type="spellStart"/>
      <w:r w:rsidRPr="00A12153">
        <w:t>PreHB</w:t>
      </w:r>
      <w:proofErr w:type="spellEnd"/>
      <w:r w:rsidRPr="00A12153">
        <w:t xml:space="preserve"> ratio &lt;1. </w:t>
      </w:r>
    </w:p>
    <w:bookmarkEnd w:id="6"/>
    <w:p w14:paraId="7E633723" w14:textId="765FFEDF" w:rsidR="007822D1" w:rsidRPr="00A12153" w:rsidRDefault="007822D1" w:rsidP="007822D1">
      <w:pPr>
        <w:pStyle w:val="P"/>
      </w:pPr>
      <w:r w:rsidRPr="00A12153">
        <w:t xml:space="preserve">This finding aligns with existing research highlighting gender-based differences in hemoglobin dynamics among hemodialysis patients. Studies have consistently reported that women on hemodialysis often require higher doses of erythropoiesis-stimulating agents to achieve and maintain target hemoglobin levels compared to men. For instance, research conducted in Northern Colombia found that women undergoing chronic hemodialysis required significantly higher doses of recombinant erythropoietin (EPO) than men to maintain hemoglobin targets </w:t>
      </w:r>
      <w:r w:rsidRPr="00DE46B5">
        <w:rPr>
          <w:vertAlign w:val="superscript"/>
        </w:rPr>
        <w:fldChar w:fldCharType="begin"/>
      </w:r>
      <w:r w:rsidR="007C3A5C" w:rsidRPr="00DE46B5">
        <w:rPr>
          <w:vertAlign w:val="superscript"/>
        </w:rPr>
        <w:instrText xml:space="preserve"> ADDIN EN.CITE &lt;EndNote&gt;&lt;Cite&gt;&lt;Author&gt;Coronado Daza&lt;/Author&gt;&lt;Year&gt;2019&lt;/Year&gt;&lt;RecNum&gt;11&lt;/RecNum&gt;&lt;DisplayText&gt;(11)&lt;/DisplayText&gt;&lt;record&gt;&lt;rec-number&gt;11&lt;/rec-number&gt;&lt;foreign-keys&gt;&lt;key app="EN" db-id="xzrd9vwasasfetevdw650faezp0zp0wddw95" timestamp="1753101994"&gt;11&lt;/key&gt;&lt;/foreign-keys&gt;&lt;ref-type name="Journal Article"&gt;17&lt;/ref-type&gt;&lt;contributors&gt;&lt;authors&gt;&lt;author&gt;Coronado Daza, J. A.&lt;/author&gt;&lt;author&gt;Cuchi, G. U.&lt;/author&gt;&lt;/authors&gt;&lt;/contributors&gt;&lt;auth-address&gt;Faculty of Medicine, Medical Department, University of Cartagena, Cartagena, Colombia.&amp;#xD;Sant Pau Biomedical Research Institute, Barcelona, Spain.&lt;/auth-address&gt;&lt;titles&gt;&lt;title&gt;Gender Differences in Dose of Erythropoietin to Maintain Hemoglobin Target in Hemodialysis Patients&lt;/title&gt;&lt;secondary-title&gt;Indian J Nephrol&lt;/secondary-title&gt;&lt;/titles&gt;&lt;periodical&gt;&lt;full-title&gt;Indian J Nephrol&lt;/full-title&gt;&lt;/periodical&gt;&lt;pages&gt;160-165&lt;/pages&gt;&lt;volume&gt;29&lt;/volume&gt;&lt;number&gt;3&lt;/number&gt;&lt;keywords&gt;&lt;keyword&gt;Erythropoietin&lt;/keyword&gt;&lt;keyword&gt;gender&lt;/keyword&gt;&lt;keyword&gt;hemodialysis&lt;/keyword&gt;&lt;keyword&gt;hemoglobin target&lt;/keyword&gt;&lt;/keywords&gt;&lt;dates&gt;&lt;year&gt;2019&lt;/year&gt;&lt;pub-dates&gt;&lt;date&gt;May-Jun&lt;/date&gt;&lt;/pub-dates&gt;&lt;/dates&gt;&lt;isbn&gt;0971-4065 (Print)&amp;#xD;0971-4065&lt;/isbn&gt;&lt;accession-num&gt;31142961&lt;/accession-num&gt;&lt;urls&gt;&lt;/urls&gt;&lt;custom1&gt;There are no conflicts of interest.&lt;/custom1&gt;&lt;custom2&gt;PMC6521763&lt;/custom2&gt;&lt;electronic-resource-num&gt;10.4103/ijn.IJN_124_18&lt;/electronic-resource-num&gt;&lt;remote-database-provider&gt;NLM&lt;/remote-database-provider&gt;&lt;language&gt;eng&lt;/language&gt;&lt;/record&gt;&lt;/Cite&gt;&lt;/EndNote&gt;</w:instrText>
      </w:r>
      <w:r w:rsidRPr="00DE46B5">
        <w:rPr>
          <w:vertAlign w:val="superscript"/>
        </w:rPr>
        <w:fldChar w:fldCharType="separate"/>
      </w:r>
      <w:r w:rsidR="00A12153" w:rsidRPr="00DE46B5">
        <w:rPr>
          <w:noProof/>
          <w:vertAlign w:val="superscript"/>
        </w:rPr>
        <w:t>(11)</w:t>
      </w:r>
      <w:r w:rsidRPr="00DE46B5">
        <w:rPr>
          <w:vertAlign w:val="superscript"/>
        </w:rPr>
        <w:fldChar w:fldCharType="end"/>
      </w:r>
      <w:r w:rsidRPr="00A12153">
        <w:t>. These findings suggest that the observed gender disparities in Post HB/</w:t>
      </w:r>
      <w:proofErr w:type="spellStart"/>
      <w:r w:rsidRPr="00A12153">
        <w:t>PreHB</w:t>
      </w:r>
      <w:proofErr w:type="spellEnd"/>
      <w:r w:rsidRPr="00A12153">
        <w:t xml:space="preserve"> ratio values may be attributed to inherent biological differences in erythropoiesis and hemoglobin regulation between males and females and potential variations in responsiveness to anemia treatments.</w:t>
      </w:r>
    </w:p>
    <w:p w14:paraId="72303EB1" w14:textId="77777777" w:rsidR="007822D1" w:rsidRPr="00A12153" w:rsidRDefault="007822D1" w:rsidP="007822D1">
      <w:pPr>
        <w:pStyle w:val="P"/>
      </w:pPr>
      <w:r w:rsidRPr="00A12153">
        <w:t>A striking finding in this study was the strong association between hemodialysis duration and Post HB/</w:t>
      </w:r>
      <w:proofErr w:type="spellStart"/>
      <w:r w:rsidRPr="00A12153">
        <w:t>PreHB</w:t>
      </w:r>
      <w:proofErr w:type="spellEnd"/>
      <w:r w:rsidRPr="00A12153">
        <w:t xml:space="preserve"> ratio. Patients with higher Post HB/</w:t>
      </w:r>
      <w:proofErr w:type="spellStart"/>
      <w:r w:rsidRPr="00A12153">
        <w:t>PreHB</w:t>
      </w:r>
      <w:proofErr w:type="spellEnd"/>
      <w:r w:rsidRPr="00A12153">
        <w:t xml:space="preserve"> ratio values had significantly longer dialysis vintage, with the Post HB/</w:t>
      </w:r>
      <w:proofErr w:type="spellStart"/>
      <w:r w:rsidRPr="00A12153">
        <w:t>PreHB</w:t>
      </w:r>
      <w:proofErr w:type="spellEnd"/>
      <w:r w:rsidRPr="00A12153">
        <w:t xml:space="preserve"> ratio ≥1.2 group having a median dialysis duration of 12 years compared to 4.5 years in the Post HB/</w:t>
      </w:r>
      <w:proofErr w:type="spellStart"/>
      <w:r w:rsidRPr="00A12153">
        <w:t>PreHB</w:t>
      </w:r>
      <w:proofErr w:type="spellEnd"/>
      <w:r w:rsidRPr="00A12153">
        <w:t xml:space="preserve"> ratio &lt;1 group. This relationship may reflect the adaptation of erythropoiesis and fluid homeostasis with prolonged dialysis therapy. </w:t>
      </w:r>
    </w:p>
    <w:p w14:paraId="3FE202D6" w14:textId="58412EB2" w:rsidR="007822D1" w:rsidRPr="00A12153" w:rsidRDefault="007822D1" w:rsidP="007822D1">
      <w:pPr>
        <w:pStyle w:val="P"/>
      </w:pPr>
      <w:r w:rsidRPr="00A12153">
        <w:t xml:space="preserve">Hoppe et al. </w:t>
      </w:r>
      <w:r w:rsidR="00A12153" w:rsidRPr="00DE46B5">
        <w:rPr>
          <w:vertAlign w:val="superscript"/>
        </w:rPr>
        <w:fldChar w:fldCharType="begin"/>
      </w:r>
      <w:r w:rsidR="007C3A5C" w:rsidRPr="00DE46B5">
        <w:rPr>
          <w:vertAlign w:val="superscript"/>
        </w:rPr>
        <w:instrText xml:space="preserve"> ADDIN EN.CITE &lt;EndNote&gt;&lt;Cite&gt;&lt;Author&gt;Hoppe&lt;/Author&gt;&lt;Year&gt;2018&lt;/Year&gt;&lt;RecNum&gt;12&lt;/RecNum&gt;&lt;DisplayText&gt;(12)&lt;/DisplayText&gt;&lt;record&gt;&lt;rec-number&gt;12&lt;/rec-number&gt;&lt;foreign-keys&gt;&lt;key app="EN" db-id="xzrd9vwasasfetevdw650faezp0zp0wddw95" timestamp="1753101994"&gt;12&lt;/key&gt;&lt;/foreign-keys&gt;&lt;ref-type name="Journal Article"&gt;17&lt;/ref-type&gt;&lt;contributors&gt;&lt;authors&gt;&lt;author&gt;Hoppe, Krzysztof&lt;/author&gt;&lt;author&gt;Schwermer, Krzysztof&lt;/author&gt;&lt;author&gt;Kawka, Anna&lt;/author&gt;&lt;author&gt;Klysz, Patrycja&lt;/author&gt;&lt;author&gt;Baum, Ewa&lt;/author&gt;&lt;author&gt;Kaluzna, Malgorzata&lt;/author&gt;&lt;author&gt;Sikorska, Dorota&lt;/author&gt;&lt;author&gt;Scigacz, Anna&lt;/author&gt;&lt;author&gt;Lindholm, Bengt&lt;/author&gt;&lt;author&gt;Pawlaczyk, Krzysztof&lt;/author&gt;&lt;/authors&gt;&lt;/contributors&gt;&lt;titles&gt;&lt;title&gt;Dialysis vintage stratified comparison of body composition, hydration and nutritional state in peritoneal dialysis and hemodialysis patients&lt;/title&gt;&lt;secondary-title&gt;&lt;style face="normal" font="default" size="100%"&gt;Arch&lt;/style&gt;&lt;style face="normal" font="default" charset="178" size="100%"&gt; &lt;/style&gt;&lt;style face="normal" font="default" size="100%"&gt;Med&lt;/style&gt;&lt;style face="normal" font="default" charset="178" size="100%"&gt; &lt;/style&gt;&lt;style face="normal" font="default" size="100%"&gt;Sci&lt;/style&gt;&lt;/secondary-title&gt;&lt;/titles&gt;&lt;periodical&gt;&lt;full-title&gt;Arch Med Sci&lt;/full-title&gt;&lt;/periodical&gt;&lt;pages&gt;807-817&lt;/pages&gt;&lt;volume&gt;14&lt;/volume&gt;&lt;number&gt;4&lt;/number&gt;&lt;dates&gt;&lt;year&gt;2018&lt;/year&gt;&lt;/dates&gt;&lt;isbn&gt;1734-1922&lt;/isbn&gt;&lt;urls&gt;&lt;/urls&gt;&lt;/record&gt;&lt;/Cite&gt;&lt;/EndNote&gt;</w:instrText>
      </w:r>
      <w:r w:rsidR="00A12153" w:rsidRPr="00DE46B5">
        <w:rPr>
          <w:vertAlign w:val="superscript"/>
        </w:rPr>
        <w:fldChar w:fldCharType="separate"/>
      </w:r>
      <w:r w:rsidR="00A12153" w:rsidRPr="00DE46B5">
        <w:rPr>
          <w:noProof/>
          <w:vertAlign w:val="superscript"/>
        </w:rPr>
        <w:t>(12)</w:t>
      </w:r>
      <w:r w:rsidR="00A12153" w:rsidRPr="00DE46B5">
        <w:rPr>
          <w:vertAlign w:val="superscript"/>
        </w:rPr>
        <w:fldChar w:fldCharType="end"/>
      </w:r>
      <w:r w:rsidR="00A12153" w:rsidRPr="00A12153">
        <w:t xml:space="preserve"> </w:t>
      </w:r>
      <w:r w:rsidRPr="00A12153">
        <w:t>have reported that longer dialysis vintage is associated with changes in body composition and fluid distribution, which might explain the observed differences in hemoglobin dynamics. In contrast, another study has shown that lower Post HB/</w:t>
      </w:r>
      <w:proofErr w:type="spellStart"/>
      <w:r w:rsidRPr="00A12153">
        <w:t>PreHB</w:t>
      </w:r>
      <w:proofErr w:type="spellEnd"/>
      <w:r w:rsidRPr="00A12153">
        <w:t xml:space="preserve">  ratio was related to HD </w:t>
      </w:r>
      <w:r w:rsidRPr="00DE46B5">
        <w:rPr>
          <w:vertAlign w:val="superscript"/>
        </w:rPr>
        <w:fldChar w:fldCharType="begin"/>
      </w:r>
      <w:r w:rsidR="007C3A5C" w:rsidRPr="00DE46B5">
        <w:rPr>
          <w:vertAlign w:val="superscript"/>
        </w:rPr>
        <w:instrText xml:space="preserve"> ADDIN EN.CITE &lt;EndNote&gt;&lt;Cite&gt;&lt;Author&gt;Nishiwaki&lt;/Author&gt;&lt;Year&gt;2019&lt;/Year&gt;&lt;RecNum&gt;13&lt;/RecNum&gt;&lt;DisplayText&gt;(13)&lt;/DisplayText&gt;&lt;record&gt;&lt;rec-number&gt;13&lt;/rec-number&gt;&lt;foreign-keys&gt;&lt;key app="EN" db-id="xzrd9vwasasfetevdw650faezp0zp0wddw95" timestamp="1753101994"&gt;13&lt;/key&gt;&lt;/foreign-keys&gt;&lt;ref-type name="Journal Article"&gt;17&lt;/ref-type&gt;&lt;contributors&gt;&lt;authors&gt;&lt;author&gt;Nishiwaki, Hiroki&lt;/author&gt;&lt;author&gt;Hasegawa, Takeshi&lt;/author&gt;&lt;author&gt;Koiwa, Fumihiko&lt;/author&gt;&lt;author&gt;Hamano, Takayuki&lt;/author&gt;&lt;author&gt;Masakane, Ikuto&lt;/author&gt;&lt;/authors&gt;&lt;/contributors&gt;&lt;titles&gt;&lt;title&gt;The association of the difference in hemoglobin levels before and after hemodialysis with the risk of 1-year mortality in patients undergoing hemodialysis. Results from a nationwide cohort study of the Japanese Renal Data Registry&lt;/title&gt;&lt;secondary-title&gt;PLoS One&lt;/secondary-title&gt;&lt;/titles&gt;&lt;periodical&gt;&lt;full-title&gt;PLoS One&lt;/full-title&gt;&lt;/periodical&gt;&lt;pages&gt;21-53&lt;/pages&gt;&lt;volume&gt;14&lt;/volume&gt;&lt;number&gt;1&lt;/number&gt;&lt;dates&gt;&lt;year&gt;2019&lt;/year&gt;&lt;/dates&gt;&lt;isbn&gt;1932-6203&lt;/isbn&gt;&lt;urls&gt;&lt;/urls&gt;&lt;/record&gt;&lt;/Cite&gt;&lt;/EndNote&gt;</w:instrText>
      </w:r>
      <w:r w:rsidRPr="00DE46B5">
        <w:rPr>
          <w:vertAlign w:val="superscript"/>
        </w:rPr>
        <w:fldChar w:fldCharType="separate"/>
      </w:r>
      <w:r w:rsidR="00A12153" w:rsidRPr="00DE46B5">
        <w:rPr>
          <w:noProof/>
          <w:vertAlign w:val="superscript"/>
        </w:rPr>
        <w:t>(13)</w:t>
      </w:r>
      <w:r w:rsidRPr="00DE46B5">
        <w:rPr>
          <w:vertAlign w:val="superscript"/>
        </w:rPr>
        <w:fldChar w:fldCharType="end"/>
      </w:r>
      <w:r w:rsidRPr="00A12153">
        <w:t>.</w:t>
      </w:r>
    </w:p>
    <w:p w14:paraId="5C93B35E" w14:textId="77777777" w:rsidR="007822D1" w:rsidRPr="00A12153" w:rsidRDefault="007822D1" w:rsidP="007822D1">
      <w:pPr>
        <w:pStyle w:val="P"/>
      </w:pPr>
      <w:r w:rsidRPr="00A12153">
        <w:t>Post-dialysis weight loss and ultrafiltration rate also showed significant positive associations with Post HB/</w:t>
      </w:r>
      <w:proofErr w:type="spellStart"/>
      <w:r w:rsidRPr="00A12153">
        <w:t>PreHB</w:t>
      </w:r>
      <w:proofErr w:type="spellEnd"/>
      <w:r w:rsidRPr="00A12153">
        <w:t xml:space="preserve"> ratio (p&lt;0.001) in this study. Patients with higher Post HB/</w:t>
      </w:r>
      <w:proofErr w:type="spellStart"/>
      <w:r w:rsidRPr="00A12153">
        <w:t>PreHB</w:t>
      </w:r>
      <w:proofErr w:type="spellEnd"/>
      <w:r w:rsidRPr="00A12153">
        <w:t xml:space="preserve"> ratio had greater fluid removal during dialysis, with the Post HB/</w:t>
      </w:r>
      <w:proofErr w:type="spellStart"/>
      <w:r w:rsidRPr="00A12153">
        <w:t>PreHB</w:t>
      </w:r>
      <w:proofErr w:type="spellEnd"/>
      <w:r w:rsidRPr="00A12153">
        <w:t xml:space="preserve"> ratio </w:t>
      </w:r>
      <w:r w:rsidRPr="00A12153">
        <w:lastRenderedPageBreak/>
        <w:t>≥1.2 group having a median post-dialysis weight loss of 5.0 kg compared to 1.5 kg in the Post HB/</w:t>
      </w:r>
      <w:proofErr w:type="spellStart"/>
      <w:r w:rsidRPr="00A12153">
        <w:t>PreHB</w:t>
      </w:r>
      <w:proofErr w:type="spellEnd"/>
      <w:r w:rsidRPr="00A12153">
        <w:t xml:space="preserve"> ratio &lt;1 group. </w:t>
      </w:r>
    </w:p>
    <w:p w14:paraId="2954FF02" w14:textId="30B0A65D" w:rsidR="007822D1" w:rsidRPr="00A12153" w:rsidRDefault="007822D1" w:rsidP="007822D1">
      <w:pPr>
        <w:pStyle w:val="P"/>
      </w:pPr>
      <w:bookmarkStart w:id="7" w:name="_Hlk203641728"/>
      <w:r w:rsidRPr="00A12153">
        <w:t xml:space="preserve">This finding is consistent with basic physiological principles, as greater fluid removal would result in more pronounced hemoconcentration and higher post-dialysis hemoglobin levels </w:t>
      </w:r>
      <w:r w:rsidRPr="00DE46B5">
        <w:rPr>
          <w:vertAlign w:val="superscript"/>
        </w:rPr>
        <w:fldChar w:fldCharType="begin"/>
      </w:r>
      <w:r w:rsidR="007C3A5C" w:rsidRPr="00DE46B5">
        <w:rPr>
          <w:vertAlign w:val="superscript"/>
        </w:rPr>
        <w:instrText xml:space="preserve"> ADDIN EN.CITE &lt;EndNote&gt;&lt;Cite&gt;&lt;Author&gt;Stuard&lt;/Author&gt;&lt;Year&gt;2024&lt;/Year&gt;&lt;RecNum&gt;14&lt;/RecNum&gt;&lt;DisplayText&gt;(14)&lt;/DisplayText&gt;&lt;record&gt;&lt;rec-number&gt;14&lt;/rec-number&gt;&lt;foreign-keys&gt;&lt;key app="EN" db-id="xzrd9vwasasfetevdw650faezp0zp0wddw95" timestamp="1753101994"&gt;14&lt;/key&gt;&lt;/foreign-keys&gt;&lt;ref-type name="Journal Article"&gt;17&lt;/ref-type&gt;&lt;contributors&gt;&lt;authors&gt;&lt;author&gt;Stuard, Stefano&lt;/author&gt;&lt;author&gt;Ridel, Christophe&lt;/author&gt;&lt;author&gt;Cioffi, Mario&lt;/author&gt;&lt;author&gt;Trost-Rupnik, Alijana&lt;/author&gt;&lt;author&gt;Gurevich, Konstantin&lt;/author&gt;&lt;author&gt;Bojic, Marija&lt;/author&gt;&lt;author&gt;Karibayev, Yerkebulan&lt;/author&gt;&lt;author&gt;Mohebbi, Nilufar&lt;/author&gt;&lt;author&gt;Marcinkowski, Wojciech&lt;/author&gt;&lt;author&gt;Kupres, Vlasta&lt;/author&gt;&lt;author&gt;Maslovaric, Jelena&lt;/author&gt;&lt;author&gt;Antebi, Alon&lt;/author&gt;&lt;author&gt;Ponce, Pedro&lt;/author&gt;&lt;author&gt;Nada, Mamdouh&lt;/author&gt;&lt;author&gt;Salvador, Maria Eva Baro&lt;/author&gt;&lt;author&gt;Rosenberger, Jaroslav&lt;/author&gt;&lt;author&gt;Jirka, Tomas&lt;/author&gt;&lt;author&gt;Enden, Kira&lt;/author&gt;&lt;author&gt;Novakivskyy, Volodymyr&lt;/author&gt;&lt;author&gt;Voiculescu, Daniela&lt;/author&gt;&lt;author&gt;Pachmann, Martin&lt;/author&gt;&lt;author&gt;Arkossy, Otto&lt;/author&gt;&lt;/authors&gt;&lt;/contributors&gt;&lt;titles&gt;&lt;title&gt;Hemodialysis Procedures for Stable Incident and Prevalent Patients Optimize Hemodynamic Stability, Dialysis Dose, Electrolytes, and Fluid Balance&lt;/title&gt;&lt;secondary-title&gt;J Clin Med&lt;/secondary-title&gt;&lt;/titles&gt;&lt;periodical&gt;&lt;full-title&gt;J Clin Med&lt;/full-title&gt;&lt;/periodical&gt;&lt;pages&gt;&lt;style face="normal" font="default" size="100%"&gt;32&lt;/style&gt;&lt;style face="normal" font="default" charset="178" size="100%"&gt;-&lt;/style&gt;&lt;style face="normal" font="default" size="100%"&gt;41&lt;/style&gt;&lt;/pages&gt;&lt;volume&gt;13&lt;/volume&gt;&lt;number&gt;11&lt;/number&gt;&lt;dates&gt;&lt;year&gt;2024&lt;/year&gt;&lt;/dates&gt;&lt;isbn&gt;2077-0383&lt;/isbn&gt;&lt;accession-num&gt;doi:10.3390/jcm13113211&lt;/accession-num&gt;&lt;urls&gt;&lt;related-urls&gt;&lt;url&gt;https://www.mdpi.com/2077-0383/13/11/3211&lt;/url&gt;&lt;/related-urls&gt;&lt;/urls&gt;&lt;/record&gt;&lt;/Cite&gt;&lt;/EndNote&gt;</w:instrText>
      </w:r>
      <w:r w:rsidRPr="00DE46B5">
        <w:rPr>
          <w:vertAlign w:val="superscript"/>
        </w:rPr>
        <w:fldChar w:fldCharType="separate"/>
      </w:r>
      <w:r w:rsidR="00A12153" w:rsidRPr="00DE46B5">
        <w:rPr>
          <w:noProof/>
          <w:vertAlign w:val="superscript"/>
        </w:rPr>
        <w:t>(14)</w:t>
      </w:r>
      <w:r w:rsidRPr="00DE46B5">
        <w:rPr>
          <w:vertAlign w:val="superscript"/>
        </w:rPr>
        <w:fldChar w:fldCharType="end"/>
      </w:r>
      <w:bookmarkEnd w:id="7"/>
      <w:r w:rsidRPr="00A12153">
        <w:t xml:space="preserve">. In line with us, </w:t>
      </w:r>
      <w:proofErr w:type="spellStart"/>
      <w:r w:rsidR="007E3049" w:rsidRPr="007E3049">
        <w:t>Pstras</w:t>
      </w:r>
      <w:proofErr w:type="spellEnd"/>
      <w:r w:rsidR="007E3049" w:rsidRPr="007E3049">
        <w:t xml:space="preserve"> </w:t>
      </w:r>
      <w:r w:rsidR="007E3049">
        <w:t xml:space="preserve">et al. </w:t>
      </w:r>
      <w:r w:rsidRPr="00DE46B5">
        <w:rPr>
          <w:vertAlign w:val="superscript"/>
        </w:rPr>
        <w:fldChar w:fldCharType="begin"/>
      </w:r>
      <w:r w:rsidR="007C3A5C" w:rsidRPr="00DE46B5">
        <w:rPr>
          <w:vertAlign w:val="superscript"/>
        </w:rPr>
        <w:instrText xml:space="preserve"> ADDIN EN.CITE &lt;EndNote&gt;&lt;Cite&gt;&lt;Author&gt;Pstras&lt;/Author&gt;&lt;Year&gt;2019&lt;/Year&gt;&lt;RecNum&gt;15&lt;/RecNum&gt;&lt;DisplayText&gt;(15)&lt;/DisplayText&gt;&lt;record&gt;&lt;rec-number&gt;15&lt;/rec-number&gt;&lt;foreign-keys&gt;&lt;key app="EN" db-id="xzrd9vwasasfetevdw650faezp0zp0wddw95" timestamp="1753101994"&gt;15&lt;/key&gt;&lt;/foreign-keys&gt;&lt;ref-type name="Journal Article"&gt;17&lt;/ref-type&gt;&lt;contributors&gt;&lt;authors&gt;&lt;author&gt;Pstras, Leszek&lt;/author&gt;&lt;author&gt;Debowska, Malgorzata&lt;/author&gt;&lt;author&gt;Wojcik-Zaluska, Alicja&lt;/author&gt;&lt;author&gt;Zaluska, Wojciech&lt;/author&gt;&lt;author&gt;Waniewski, Jacek&lt;/author&gt;&lt;/authors&gt;&lt;/contributors&gt;&lt;titles&gt;&lt;title&gt;Hemodialysis-induced changes in hematocrit, hemoglobin and total protein: Implications for relative blood volume monitoring&lt;/title&gt;&lt;secondary-title&gt;PLoS One&lt;/secondary-title&gt;&lt;/titles&gt;&lt;periodical&gt;&lt;full-title&gt;PLoS One&lt;/full-title&gt;&lt;/periodical&gt;&lt;pages&gt;22-76&lt;/pages&gt;&lt;volume&gt;14&lt;/volume&gt;&lt;number&gt;8&lt;/number&gt;&lt;dates&gt;&lt;year&gt;2019&lt;/year&gt;&lt;/dates&gt;&lt;isbn&gt;1932-6203&lt;/isbn&gt;&lt;urls&gt;&lt;/urls&gt;&lt;/record&gt;&lt;/Cite&gt;&lt;/EndNote&gt;</w:instrText>
      </w:r>
      <w:r w:rsidRPr="00DE46B5">
        <w:rPr>
          <w:vertAlign w:val="superscript"/>
        </w:rPr>
        <w:fldChar w:fldCharType="separate"/>
      </w:r>
      <w:r w:rsidR="00A12153" w:rsidRPr="00DE46B5">
        <w:rPr>
          <w:noProof/>
          <w:vertAlign w:val="superscript"/>
        </w:rPr>
        <w:t>(15)</w:t>
      </w:r>
      <w:r w:rsidRPr="00DE46B5">
        <w:rPr>
          <w:vertAlign w:val="superscript"/>
        </w:rPr>
        <w:fldChar w:fldCharType="end"/>
      </w:r>
      <w:r w:rsidRPr="00A12153">
        <w:t xml:space="preserve"> found that Hb levels increased during hemodialysis, making it reliable for estimating relative blood volume changes. </w:t>
      </w:r>
    </w:p>
    <w:p w14:paraId="3CC7ABBF" w14:textId="1028049B" w:rsidR="007822D1" w:rsidRPr="007E3049" w:rsidRDefault="00D0481A" w:rsidP="007822D1">
      <w:pPr>
        <w:pStyle w:val="P"/>
      </w:pPr>
      <w:bookmarkStart w:id="8" w:name="_Hlk203641764"/>
      <w:r w:rsidRPr="00D0481A">
        <w:t xml:space="preserve">In contrast, an earlier study did not identify any correlation between variations in intradialytic hematocrit levels and ultrafiltration volume, regardless of whether the treatment was administered during the midweek or at the beginning of the subsequent </w:t>
      </w:r>
      <w:r w:rsidRPr="007E3049">
        <w:t>week</w:t>
      </w:r>
      <w:r w:rsidR="007822D1" w:rsidRPr="007E3049">
        <w:t xml:space="preserve">. This indicates that greater fluid removal does not necessarily cause more pronounced hemoconcentration or higher post-dialysis hemoglobin levels, suggesting that other factors, such as patient-specific characteristics, influence hematocrit changes during hemodialysis </w:t>
      </w:r>
      <w:r w:rsidR="007822D1" w:rsidRPr="007E3049">
        <w:rPr>
          <w:vertAlign w:val="superscript"/>
        </w:rPr>
        <w:fldChar w:fldCharType="begin"/>
      </w:r>
      <w:r w:rsidR="007C3A5C" w:rsidRPr="007E3049">
        <w:rPr>
          <w:vertAlign w:val="superscript"/>
        </w:rPr>
        <w:instrText xml:space="preserve"> ADDIN EN.CITE &lt;EndNote&gt;&lt;Cite&gt;&lt;Author&gt;Ku&lt;/Author&gt;&lt;Year&gt;2011&lt;/Year&gt;&lt;RecNum&gt;16&lt;/RecNum&gt;&lt;DisplayText&gt;(16)&lt;/DisplayText&gt;&lt;record&gt;&lt;rec-number&gt;16&lt;/rec-number&gt;&lt;foreign-keys&gt;&lt;key app="EN" db-id="xzrd9vwasasfetevdw650faezp0zp0wddw95" timestamp="1753101994"&gt;16&lt;/key&gt;&lt;/foreign-keys&gt;&lt;ref-type name="Journal Article"&gt;17&lt;/ref-type&gt;&lt;contributors&gt;&lt;authors&gt;&lt;author&gt;Ku, Chia-Chu&lt;/author&gt;&lt;author&gt;Chiu, Wen-Yuan&lt;/author&gt;&lt;author&gt;Wu, Sheng-Wen&lt;/author&gt;&lt;author&gt;Chang, Horng-Rong&lt;/author&gt;&lt;author&gt;Lian, Jong-Da&lt;/author&gt;&lt;/authors&gt;&lt;/contributors&gt;&lt;titles&gt;&lt;title&gt;The Association between Post-Dialysis Hematocrit Levels and Ultrafiltration Volume in Maintenance Hemodialysis Patients&lt;/title&gt;&lt;secondary-title&gt;Acta Nephrologica&lt;/secondary-title&gt;&lt;/titles&gt;&lt;periodical&gt;&lt;full-title&gt;Acta Nephrologica&lt;/full-title&gt;&lt;/periodical&gt;&lt;pages&gt;182-185&lt;/pages&gt;&lt;volume&gt;25&lt;/volume&gt;&lt;number&gt;4&lt;/number&gt;&lt;dates&gt;&lt;year&gt;2011&lt;/year&gt;&lt;/dates&gt;&lt;isbn&gt;1013-1671&lt;/isbn&gt;&lt;urls&gt;&lt;/urls&gt;&lt;/record&gt;&lt;/Cite&gt;&lt;/EndNote&gt;</w:instrText>
      </w:r>
      <w:r w:rsidR="007822D1" w:rsidRPr="007E3049">
        <w:rPr>
          <w:vertAlign w:val="superscript"/>
        </w:rPr>
        <w:fldChar w:fldCharType="separate"/>
      </w:r>
      <w:r w:rsidR="00A12153" w:rsidRPr="007E3049">
        <w:rPr>
          <w:noProof/>
          <w:vertAlign w:val="superscript"/>
        </w:rPr>
        <w:t>(16)</w:t>
      </w:r>
      <w:r w:rsidR="007822D1" w:rsidRPr="007E3049">
        <w:rPr>
          <w:vertAlign w:val="superscript"/>
        </w:rPr>
        <w:fldChar w:fldCharType="end"/>
      </w:r>
      <w:r w:rsidR="007822D1" w:rsidRPr="007E3049">
        <w:t>.</w:t>
      </w:r>
      <w:r w:rsidR="00406480" w:rsidRPr="007E3049">
        <w:t xml:space="preserve"> </w:t>
      </w:r>
    </w:p>
    <w:bookmarkEnd w:id="8"/>
    <w:p w14:paraId="531484D2" w14:textId="2E76547A" w:rsidR="007822D1" w:rsidRPr="00A12153" w:rsidRDefault="007822D1" w:rsidP="007822D1">
      <w:pPr>
        <w:pStyle w:val="P"/>
      </w:pPr>
      <w:r w:rsidRPr="007E3049">
        <w:t>Arteriovenous</w:t>
      </w:r>
      <w:r w:rsidRPr="00A12153">
        <w:t xml:space="preserve"> fistula (AVF) was the predominant vascular access across all our groups (86.7-90.0%), consistent with current clinical practice guidelines that recommend AVF as the preferred access for hemodialysis </w:t>
      </w:r>
      <w:r w:rsidRPr="00DE46B5">
        <w:rPr>
          <w:vertAlign w:val="superscript"/>
        </w:rPr>
        <w:fldChar w:fldCharType="begin"/>
      </w:r>
      <w:r w:rsidR="007C3A5C" w:rsidRPr="00DE46B5">
        <w:rPr>
          <w:vertAlign w:val="superscript"/>
        </w:rPr>
        <w:instrText xml:space="preserve"> ADDIN EN.CITE &lt;EndNote&gt;&lt;Cite&gt;&lt;Author&gt;Lok&lt;/Author&gt;&lt;Year&gt;2020&lt;/Year&gt;&lt;RecNum&gt;17&lt;/RecNum&gt;&lt;DisplayText&gt;(17)&lt;/DisplayText&gt;&lt;record&gt;&lt;rec-number&gt;17&lt;/rec-number&gt;&lt;foreign-keys&gt;&lt;key app="EN" db-id="xzrd9vwasasfetevdw650faezp0zp0wddw95" timestamp="1753101994"&gt;17&lt;/key&gt;&lt;/foreign-keys&gt;&lt;ref-type name="Journal Article"&gt;17&lt;/ref-type&gt;&lt;contributors&gt;&lt;authors&gt;&lt;author&gt;Lok, Charmaine E&lt;/author&gt;&lt;author&gt;Huber, Thomas S&lt;/author&gt;&lt;author&gt;Lee, Timmy&lt;/author&gt;&lt;author&gt;Shenoy, Surendra&lt;/author&gt;&lt;author&gt;Yevzlin, Alexander S&lt;/author&gt;&lt;author&gt;Abreo, Kenneth&lt;/author&gt;&lt;author&gt;Allon, Michael&lt;/author&gt;&lt;author&gt;Asif, Arif&lt;/author&gt;&lt;author&gt;Astor, Brad C&lt;/author&gt;&lt;author&gt;Glickman, Marc H&lt;/author&gt;&lt;/authors&gt;&lt;/contributors&gt;&lt;titles&gt;&lt;title&gt;KDOQI clinical practice guideline for vascular access: 2019 update&lt;/title&gt;&lt;secondary-title&gt;Am J Kidney Dis&lt;/secondary-title&gt;&lt;/titles&gt;&lt;periodical&gt;&lt;full-title&gt;Am J Kidney Dis&lt;/full-title&gt;&lt;/periodical&gt;&lt;pages&gt;S1-S164&lt;/pages&gt;&lt;volume&gt;75&lt;/volume&gt;&lt;number&gt;4&lt;/number&gt;&lt;dates&gt;&lt;year&gt;2020&lt;/year&gt;&lt;/dates&gt;&lt;isbn&gt;0272-6386&lt;/isbn&gt;&lt;urls&gt;&lt;/urls&gt;&lt;/record&gt;&lt;/Cite&gt;&lt;/EndNote&gt;</w:instrText>
      </w:r>
      <w:r w:rsidRPr="00DE46B5">
        <w:rPr>
          <w:vertAlign w:val="superscript"/>
        </w:rPr>
        <w:fldChar w:fldCharType="separate"/>
      </w:r>
      <w:r w:rsidR="00A12153" w:rsidRPr="00DE46B5">
        <w:rPr>
          <w:noProof/>
          <w:vertAlign w:val="superscript"/>
        </w:rPr>
        <w:t>(17)</w:t>
      </w:r>
      <w:r w:rsidRPr="00DE46B5">
        <w:rPr>
          <w:vertAlign w:val="superscript"/>
        </w:rPr>
        <w:fldChar w:fldCharType="end"/>
      </w:r>
      <w:r w:rsidRPr="00A12153">
        <w:t xml:space="preserve">. </w:t>
      </w:r>
    </w:p>
    <w:p w14:paraId="1CEA077B" w14:textId="77777777" w:rsidR="007822D1" w:rsidRPr="00A12153" w:rsidRDefault="007822D1" w:rsidP="007822D1">
      <w:pPr>
        <w:pStyle w:val="P"/>
      </w:pPr>
      <w:r w:rsidRPr="00A12153">
        <w:t>A particularly interesting finding was the U-shaped relationship between the Post HB/</w:t>
      </w:r>
      <w:proofErr w:type="spellStart"/>
      <w:r w:rsidRPr="00A12153">
        <w:t>PreHB</w:t>
      </w:r>
      <w:proofErr w:type="spellEnd"/>
      <w:r w:rsidRPr="00A12153">
        <w:t xml:space="preserve"> ratio and cardiac outcomes. Patients with extreme Post HB/</w:t>
      </w:r>
      <w:proofErr w:type="spellStart"/>
      <w:r w:rsidRPr="00A12153">
        <w:t>PreHB</w:t>
      </w:r>
      <w:proofErr w:type="spellEnd"/>
      <w:r w:rsidRPr="00A12153">
        <w:t xml:space="preserve"> ratio values, either very low (&lt;1 g/dL) or very high (≥1.2 g/dL), demonstrated higher rates of myocardial affection (40.0% and 45.0%, respectively) compared to those with moderate changes (10.5% and 13.6% for Post HB/</w:t>
      </w:r>
      <w:proofErr w:type="spellStart"/>
      <w:r w:rsidRPr="00A12153">
        <w:t>PreHB</w:t>
      </w:r>
      <w:proofErr w:type="spellEnd"/>
      <w:r w:rsidRPr="00A12153">
        <w:t xml:space="preserve"> ratio 0-1 g/dL and 1.1-1.2 g/dL, respectively). </w:t>
      </w:r>
    </w:p>
    <w:p w14:paraId="14987BAD" w14:textId="0480FFCD" w:rsidR="007822D1" w:rsidRPr="00A12153" w:rsidRDefault="007822D1" w:rsidP="00D0481A">
      <w:pPr>
        <w:pStyle w:val="P"/>
      </w:pPr>
      <w:r w:rsidRPr="00A12153">
        <w:t>This U-shaped relationship is consistent with findings from Hara et al.</w:t>
      </w:r>
      <w:r w:rsidR="00A12153" w:rsidRPr="00A12153">
        <w:t xml:space="preserve"> </w:t>
      </w:r>
      <w:r w:rsidR="00A12153" w:rsidRPr="00DE46B5">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DE46B5">
        <w:rPr>
          <w:vertAlign w:val="superscript"/>
        </w:rPr>
        <w:instrText xml:space="preserve"> ADDIN EN.CITE </w:instrText>
      </w:r>
      <w:r w:rsidR="007C3A5C" w:rsidRPr="00DE46B5">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DE46B5">
        <w:rPr>
          <w:vertAlign w:val="superscript"/>
        </w:rPr>
        <w:instrText xml:space="preserve"> ADDIN EN.CITE.DATA </w:instrText>
      </w:r>
      <w:r w:rsidR="007C3A5C" w:rsidRPr="00DE46B5">
        <w:rPr>
          <w:vertAlign w:val="superscript"/>
        </w:rPr>
      </w:r>
      <w:r w:rsidR="007C3A5C" w:rsidRPr="00DE46B5">
        <w:rPr>
          <w:vertAlign w:val="superscript"/>
        </w:rPr>
        <w:fldChar w:fldCharType="end"/>
      </w:r>
      <w:r w:rsidR="00A12153" w:rsidRPr="00DE46B5">
        <w:rPr>
          <w:vertAlign w:val="superscript"/>
        </w:rPr>
      </w:r>
      <w:r w:rsidR="00A12153" w:rsidRPr="00DE46B5">
        <w:rPr>
          <w:vertAlign w:val="superscript"/>
        </w:rPr>
        <w:fldChar w:fldCharType="separate"/>
      </w:r>
      <w:r w:rsidR="00A12153" w:rsidRPr="00DE46B5">
        <w:rPr>
          <w:noProof/>
          <w:vertAlign w:val="superscript"/>
        </w:rPr>
        <w:t>(1)</w:t>
      </w:r>
      <w:r w:rsidR="00A12153" w:rsidRPr="00DE46B5">
        <w:rPr>
          <w:vertAlign w:val="superscript"/>
        </w:rPr>
        <w:fldChar w:fldCharType="end"/>
      </w:r>
      <w:r w:rsidRPr="00A12153">
        <w:t xml:space="preserve">, </w:t>
      </w:r>
      <w:r w:rsidR="00D0481A" w:rsidRPr="00D0481A">
        <w:t>In Japanese hemodialysis patients, they observed a comparable pattern in which an elevated risk of significant adverse cardiovascular events was associated with both a very low and very high Post HB/</w:t>
      </w:r>
      <w:proofErr w:type="spellStart"/>
      <w:r w:rsidR="00D0481A" w:rsidRPr="00D0481A">
        <w:t>PreHB</w:t>
      </w:r>
      <w:proofErr w:type="spellEnd"/>
      <w:r w:rsidR="00D0481A" w:rsidRPr="00D0481A">
        <w:t xml:space="preserve"> ratio.  In comparison to the reference group (Post HB/</w:t>
      </w:r>
      <w:proofErr w:type="spellStart"/>
      <w:r w:rsidR="00D0481A" w:rsidRPr="00D0481A">
        <w:t>PreHB</w:t>
      </w:r>
      <w:proofErr w:type="spellEnd"/>
      <w:r w:rsidR="00D0481A" w:rsidRPr="00D0481A">
        <w:t xml:space="preserve"> ratio ≥1.1 to &lt;1.2), they reported hazard ratios of 1.69, 1.29, and 1.31 for Post HB/</w:t>
      </w:r>
      <w:proofErr w:type="spellStart"/>
      <w:r w:rsidR="00D0481A" w:rsidRPr="00D0481A">
        <w:t>PreHB</w:t>
      </w:r>
      <w:proofErr w:type="spellEnd"/>
      <w:r w:rsidR="00D0481A" w:rsidRPr="00D0481A">
        <w:t xml:space="preserve"> ratios &lt;1.0, ≥1.0 to &lt;1.1, and ≥1.2, respectively.</w:t>
      </w:r>
      <w:r w:rsidR="00D0481A">
        <w:t xml:space="preserve"> </w:t>
      </w:r>
      <w:r w:rsidRPr="00A12153">
        <w:t xml:space="preserve">Nishiwaki et al. </w:t>
      </w:r>
      <w:r w:rsidR="00A12153" w:rsidRPr="00DE46B5">
        <w:rPr>
          <w:vertAlign w:val="superscript"/>
        </w:rPr>
        <w:fldChar w:fldCharType="begin"/>
      </w:r>
      <w:r w:rsidR="007C3A5C" w:rsidRPr="00DE46B5">
        <w:rPr>
          <w:vertAlign w:val="superscript"/>
        </w:rPr>
        <w:instrText xml:space="preserve"> ADDIN EN.CITE &lt;EndNote&gt;&lt;Cite&gt;&lt;Author&gt;Nishiwaki&lt;/Author&gt;&lt;Year&gt;2019&lt;/Year&gt;&lt;RecNum&gt;13&lt;/RecNum&gt;&lt;DisplayText&gt;(13)&lt;/DisplayText&gt;&lt;record&gt;&lt;rec-number&gt;13&lt;/rec-number&gt;&lt;foreign-keys&gt;&lt;key app="EN" db-id="xzrd9vwasasfetevdw650faezp0zp0wddw95" timestamp="1753101994"&gt;13&lt;/key&gt;&lt;/foreign-keys&gt;&lt;ref-type name="Journal Article"&gt;17&lt;/ref-type&gt;&lt;contributors&gt;&lt;authors&gt;&lt;author&gt;Nishiwaki, Hiroki&lt;/author&gt;&lt;author&gt;Hasegawa, Takeshi&lt;/author&gt;&lt;author&gt;Koiwa, Fumihiko&lt;/author&gt;&lt;author&gt;Hamano, Takayuki&lt;/author&gt;&lt;author&gt;Masakane, Ikuto&lt;/author&gt;&lt;/authors&gt;&lt;/contributors&gt;&lt;titles&gt;&lt;title&gt;The association of the difference in hemoglobin levels before and after hemodialysis with the risk of 1-year mortality in patients undergoing hemodialysis. Results from a nationwide cohort study of the Japanese Renal Data Registry&lt;/title&gt;&lt;secondary-title&gt;PLoS One&lt;/secondary-title&gt;&lt;/titles&gt;&lt;periodical&gt;&lt;full-title&gt;PLoS One&lt;/full-title&gt;&lt;/periodical&gt;&lt;pages&gt;21-53&lt;/pages&gt;&lt;volume&gt;14&lt;/volume&gt;&lt;number&gt;1&lt;/number&gt;&lt;dates&gt;&lt;year&gt;2019&lt;/year&gt;&lt;/dates&gt;&lt;isbn&gt;1932-6203&lt;/isbn&gt;&lt;urls&gt;&lt;/urls&gt;&lt;/record&gt;&lt;/Cite&gt;&lt;/EndNote&gt;</w:instrText>
      </w:r>
      <w:r w:rsidR="00A12153" w:rsidRPr="00DE46B5">
        <w:rPr>
          <w:vertAlign w:val="superscript"/>
        </w:rPr>
        <w:fldChar w:fldCharType="separate"/>
      </w:r>
      <w:r w:rsidR="00A12153" w:rsidRPr="00DE46B5">
        <w:rPr>
          <w:noProof/>
          <w:vertAlign w:val="superscript"/>
        </w:rPr>
        <w:t>(13)</w:t>
      </w:r>
      <w:r w:rsidR="00A12153" w:rsidRPr="00DE46B5">
        <w:rPr>
          <w:vertAlign w:val="superscript"/>
        </w:rPr>
        <w:fldChar w:fldCharType="end"/>
      </w:r>
      <w:r w:rsidR="00A12153" w:rsidRPr="00A12153">
        <w:t xml:space="preserve"> </w:t>
      </w:r>
      <w:r w:rsidRPr="00A12153">
        <w:t>found that lower Post HB/</w:t>
      </w:r>
      <w:proofErr w:type="spellStart"/>
      <w:r w:rsidRPr="00A12153">
        <w:t>PreHB</w:t>
      </w:r>
      <w:proofErr w:type="spellEnd"/>
      <w:r w:rsidRPr="00A12153">
        <w:t xml:space="preserve"> ratio is associated with a higher risk of 1-year mortality, consistent with our findings that patients with Post HB/</w:t>
      </w:r>
      <w:proofErr w:type="spellStart"/>
      <w:r w:rsidRPr="00A12153">
        <w:t>PreHB</w:t>
      </w:r>
      <w:proofErr w:type="spellEnd"/>
      <w:r w:rsidRPr="00A12153">
        <w:t xml:space="preserve"> ratio &lt;1.0  had higher rates of adverse outcomes. This suggests that patients who fail to show the expected increase in hemoglobin concentration after fluid removal during dialysis may have volume overload or other pathophysiological processes contributing to poor outcomes</w:t>
      </w:r>
      <w:r w:rsidR="00A12153" w:rsidRPr="00A12153">
        <w:t>.</w:t>
      </w:r>
      <w:r w:rsidRPr="00A12153">
        <w:t xml:space="preserve"> </w:t>
      </w:r>
    </w:p>
    <w:p w14:paraId="38CD6B1F" w14:textId="121D7635" w:rsidR="007822D1" w:rsidRPr="00A12153" w:rsidRDefault="007822D1" w:rsidP="007822D1">
      <w:pPr>
        <w:pStyle w:val="P"/>
      </w:pPr>
      <w:r w:rsidRPr="00A12153">
        <w:t>The mechanisms underlying this U-shaped relationship likely involve the balance between ultrafiltration and plasma refilling during hemodialysis. A low Post HB/</w:t>
      </w:r>
      <w:proofErr w:type="spellStart"/>
      <w:r w:rsidRPr="00A12153">
        <w:t>PreHB</w:t>
      </w:r>
      <w:proofErr w:type="spellEnd"/>
      <w:r w:rsidR="00A12153" w:rsidRPr="00A12153">
        <w:t xml:space="preserve"> </w:t>
      </w:r>
      <w:r w:rsidRPr="00A12153">
        <w:t>ratio indicates that plasma refilling exceeds ultrafiltration, suggesting inadequate fluid removal during hemodialysis</w:t>
      </w:r>
      <w:r w:rsidR="00A12153" w:rsidRPr="00A12153">
        <w:t xml:space="preserve"> </w:t>
      </w:r>
      <w:r w:rsidR="00A12153" w:rsidRPr="00DE46B5">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DE46B5">
        <w:rPr>
          <w:vertAlign w:val="superscript"/>
        </w:rPr>
        <w:instrText xml:space="preserve"> ADDIN EN.CITE </w:instrText>
      </w:r>
      <w:r w:rsidR="007C3A5C" w:rsidRPr="00DE46B5">
        <w:rPr>
          <w:vertAlign w:val="superscript"/>
        </w:rPr>
        <w:fldChar w:fldCharType="begin">
          <w:fldData xml:space="preserve">PEVuZE5vdGU+PENpdGU+PEF1dGhvcj5IYXJhPC9BdXRob3I+PFllYXI+MjAxOTwvWWVhcj48UmVj
TnVtPjE8L1JlY051bT48RGlzcGxheVRleHQ+KDEpPC9EaXNwbGF5VGV4dD48cmVjb3JkPjxyZWMt
bnVtYmVyPjE8L3JlYy1udW1iZXI+PGZvcmVpZ24ta2V5cz48a2V5IGFwcD0iRU4iIGRiLWlkPSJ4
enJkOXZ3YXNhc2ZldGV2ZHc2NTBmYWV6cDB6cDB3ZGR3OTUiIHRpbWVzdGFtcD0iMTc1MzEwMTk5
NCI+MTwva2V5PjwvZm9yZWlnbi1rZXlzPjxyZWYtdHlwZSBuYW1lPSJKb3VybmFsIEFydGljbGUi
PjE3PC9yZWYtdHlwZT48Y29udHJpYnV0b3JzPjxhdXRob3JzPjxhdXRob3I+SGFyYSwgVC48L2F1
dGhvcj48YXV0aG9yPktpbWFjaGksIE0uPC9hdXRob3I+PGF1dGhvcj5Ja2Vub3VlLCBULjwvYXV0
aG9yPjxhdXRob3I+QWtpemF3YSwgVC48L2F1dGhvcj48YXV0aG9yPkZ1a3VoYXJhLCBTLjwvYXV0
aG9yPjxhdXRob3I+WWFtYW1vdG8sIFkuPC9hdXRob3I+PC9hdXRob3JzPjwvY29udHJpYnV0b3Jz
PjxhdXRoLWFkZHJlc3M+RGVwYXJ0bWVudCBvZiBIZWFsdGhjYXJlIEVwaWRlbWlvbG9neSwgR3Jh
ZHVhdGUgU2Nob29sIG9mIE1lZGljaW5lIGFuZCBQdWJsaWMgSGVhbHRoLCBLeW90byBVbml2ZXJz
aXR5LCBLeW90bywgSmFwYW4uJiN4RDtJbnN0aXR1dGUgZm9yIEhlYWx0aCBPdXRjb21lcyBhbmQg
UHJvY2VzcyBFdmFsdWF0aW9uIFJlc2VhcmNoIChpSG9wZSBJbnRlcm5hdGlvbmFsKSwgS3lvdG8s
IEphcGFuLiYjeEQ7RGVwYXJ0bWVudCBvZiBIdW1hbiBIZWFsdGggU2NpZW5jZSwgR3JhZHVhdGUg
U2Nob29sIG9mIE1lZGljaW5lLCBLeW90byBVbml2ZXJzaXR5LCBLeW90bywgSmFwYW4uJiN4RDtE
aXZpc2lvbiBvZiBOZXBocm9sb2d5LCBTaG93YSBVbml2ZXJzaXR5IFNjaG9vbCBvZiBNZWRpY2lu
ZSwgVG9reW8sIEphcGFuLiYjeEQ7Q2VudGVyIGZvciBJbm5vdmF0aXZlIFJlc2VhcmNoIGZvciBD
b21tdW5pdGllcyBhbmQgQ2xpbmljYWwgRXhjZWxsZW5jZSAoQ0lSQzJMRSksIEZ1a3VzaGltYSBN
ZWRpY2FsIFVuaXZlcnNpdHksIEZ1a3VzaGltYSwgSmFwYW4uJiN4RDtEZXBhcnRtZW50IG9mIEhl
YWx0aGNhcmUgRXBpZGVtaW9sb2d5LCBHcmFkdWF0ZSBTY2hvb2wgb2YgTWVkaWNpbmUgYW5kIFB1
YmxpYyBIZWFsdGgsIEt5b3RvIFVuaXZlcnNpdHksIEt5b3RvLCBKYXBhbiwgeWFtYW1vdG8ueW9z
dWtlLjVuQGt5b3RvLXUuYWMuanAuPC9hdXRoLWFkZHJlc3M+PHRpdGxlcz48dGl0bGU+SW50cmEt
RGlhbHl0aWMgSGVtb2dsb2JpbiBDaGFuZ2VzIGFuZCBDYXJkaW92YXNjdWxhciBFdmVudHM6IEEg
Q29ob3J0IFN0dWR5IG9uIERpYWx5c2lzIE91dGNvbWVzIGFuZCBQcmFjdGljZSBQYXR0ZXJucyBp
biBKYXBhbjwvdGl0bGU+PHNlY29uZGFyeS10aXRsZT5BbSBKIE5lcGhyb2w8L3NlY29uZGFyeS10
aXRsZT48L3RpdGxlcz48cGVyaW9kaWNhbD48ZnVsbC10aXRsZT5BbSBKIE5lcGhyb2w8L2Z1bGwt
dGl0bGU+PC9wZXJpb2RpY2FsPjxwYWdlcz4yNzItMjgwPC9wYWdlcz48dm9sdW1lPjUwPC92b2x1
bWU+PG51bWJlcj40PC9udW1iZXI+PGVkaXRpb24+MjAxOTA5MDU8L2VkaXRpb24+PGtleXdvcmRz
PjxrZXl3b3JkPkFnZWQ8L2tleXdvcmQ+PGtleXdvcmQ+Q2FyZGlvdmFzY3VsYXIgRGlzZWFzZXMv
KmJsb29kL2NvbXBsaWNhdGlvbnMvbW9ydGFsaXR5PC9rZXl3b3JkPjxrZXl3b3JkPkZlbWFsZTwv
a2V5d29yZD48a2V5d29yZD5IZW1vZ2xvYmlucy8qYW5hbHlzaXM8L2tleXdvcmQ+PGtleXdvcmQ+
SHVtYW5zPC9rZXl3b3JkPjxrZXl3b3JkPkphcGFuL2VwaWRlbWlvbG9neTwva2V5d29yZD48a2V5
d29yZD5LYXBsYW4tTWVpZXIgRXN0aW1hdGU8L2tleXdvcmQ+PGtleXdvcmQ+S2lkbmV5IEZhaWx1
cmUsIENocm9uaWMvY29tcGxpY2F0aW9ucy9tb3J0YWxpdHkvKnRoZXJhcHk8L2tleXdvcmQ+PGtl
eXdvcmQ+TWFsZTwva2V5d29yZD48a2V5d29yZD5NaWRkbGUgQWdlZDwva2V5d29yZD48a2V5d29y
ZD5QcmFjdGljZSBQYXR0ZXJucywgUGh5c2ljaWFucyZhcG9zOzwva2V5d29yZD48a2V5d29yZD5Q
cm9wb3J0aW9uYWwgSGF6YXJkcyBNb2RlbHM8L2tleXdvcmQ+PGtleXdvcmQ+UHJvc3BlY3RpdmUg
U3R1ZGllczwva2V5d29yZD48a2V5d29yZD4qUmVuYWwgRGlhbHlzaXM8L2tleXdvcmQ+PGtleXdv
cmQ+UmVwcm9kdWNpYmlsaXR5IG9mIFJlc3VsdHM8L2tleXdvcmQ+PGtleXdvcmQ+VHJlYXRtZW50
IE91dGNvbWU8L2tleXdvcmQ+PGtleXdvcmQ+Q2FyZGlvdmFzY3VsYXIgZXZlbnRzPC9rZXl3b3Jk
PjxrZXl3b3JkPkhlbW9kaWFseXNpczwva2V5d29yZD48a2V5d29yZD5IZW1vZ2xvYmluPC9rZXl3
b3JkPjxrZXl3b3JkPlBsYXNtYSByZWZpbGxpbmc8L2tleXdvcmQ+PGtleXdvcmQ+VWx0cmFmaWx0
cmF0aW9uPC9rZXl3b3JkPjwva2V5d29yZHM+PGRhdGVzPjx5ZWFyPjIwMTk8L3llYXI+PC9kYXRl
cz48aXNibj4wMjUwLTgwOTUgKFByaW50KSYjeEQ7MDI1MC04MDk1PC9pc2JuPjxhY2Nlc3Npb24t
bnVtPjMxNDg3NzEzPC9hY2Nlc3Npb24tbnVtPjx1cmxzPjwvdXJscz48Y3VzdG9tMT5ULkEuIGhh
cyBiZWVuIGEgc2NpZW50aWZpYyBhZHZpc29yIG9yIGNvbnN1bHRhbnQgZm9yIEFzdGVsbGFzIFBo
YXJtYSwgSlQgUGhhcm1hY2V1dGljYWxzLCBUb3JpaSBQaGFybWFjZXV0aWNhbCwgS3lvd2EgSGFr
a28gS2lyaW4sIE5pcHJvIE1lZGljYWwsIE9ubyBQaGFybWFjZXV0aWNhbCwgQmF5ZXIgSGVhbHRo
Q2FyZSwgRnVzbyBQaGFybWFjZXV0aWNhbCwgR2xheG9TbWl0aEtsaW5lLCBhbmQgS2lzc2VpIFBo
YXJtYWNldXRpY2FsIGFuZCBoYXMgcmVjZWl2ZWQgbGVjdHVyZSBmZWVzIGZyb20gQ2h1Z2FpIFBo
YXJtYWNldXRpY2FsLCBLeW93YSBIYWtrbyBLaXJpbiwgQmF5ZXIgSGVhbHRoQ2FyZSwgVG9yaWkg
UGhhcm1hY2V1dGljYWwsIEtpc3NlaSBQaGFybWFjZXV0aWNhbCwgYW5kIE9ubyBQaGFybWFjZXV0
aWNhbC4gVC5ILiwgTS5LLiwgVC5JLiwgUy5GLiwgYW5kIFkuWS4gaGF2ZSBubyBjb25mbGljdHMg
b2YgaW50ZXJlc3QgdG8gZGVjbGFyZS48L2N1c3RvbTE+PGN1c3RvbTI+UE1DNjg3ODczNjwvY3Vz
dG9tMj48ZWxlY3Ryb25pYy1yZXNvdXJjZS1udW0+MTAuMTE1OS8wMDA1MDI2MzM8L2VsZWN0cm9u
aWMtcmVzb3VyY2UtbnVtPjxyZW1vdGUtZGF0YWJhc2UtcHJvdmlkZXI+TkxNPC9yZW1vdGUtZGF0
YWJhc2UtcHJvdmlkZXI+PGxhbmd1YWdlPmVuZzwvbGFuZ3VhZ2U+PC9yZWNvcmQ+PC9DaXRlPjwv
RW5kTm90ZT4A
</w:fldData>
        </w:fldChar>
      </w:r>
      <w:r w:rsidR="007C3A5C" w:rsidRPr="00DE46B5">
        <w:rPr>
          <w:vertAlign w:val="superscript"/>
        </w:rPr>
        <w:instrText xml:space="preserve"> ADDIN EN.CITE.DATA </w:instrText>
      </w:r>
      <w:r w:rsidR="007C3A5C" w:rsidRPr="00DE46B5">
        <w:rPr>
          <w:vertAlign w:val="superscript"/>
        </w:rPr>
      </w:r>
      <w:r w:rsidR="007C3A5C" w:rsidRPr="00DE46B5">
        <w:rPr>
          <w:vertAlign w:val="superscript"/>
        </w:rPr>
        <w:fldChar w:fldCharType="end"/>
      </w:r>
      <w:r w:rsidR="00A12153" w:rsidRPr="00DE46B5">
        <w:rPr>
          <w:vertAlign w:val="superscript"/>
        </w:rPr>
      </w:r>
      <w:r w:rsidR="00A12153" w:rsidRPr="00DE46B5">
        <w:rPr>
          <w:vertAlign w:val="superscript"/>
        </w:rPr>
        <w:fldChar w:fldCharType="separate"/>
      </w:r>
      <w:r w:rsidR="00A12153" w:rsidRPr="00DE46B5">
        <w:rPr>
          <w:noProof/>
          <w:vertAlign w:val="superscript"/>
        </w:rPr>
        <w:t>(1)</w:t>
      </w:r>
      <w:r w:rsidR="00A12153" w:rsidRPr="00DE46B5">
        <w:rPr>
          <w:vertAlign w:val="superscript"/>
        </w:rPr>
        <w:fldChar w:fldCharType="end"/>
      </w:r>
      <w:r w:rsidRPr="00DE46B5">
        <w:rPr>
          <w:vertAlign w:val="superscript"/>
        </w:rPr>
        <w:t>.</w:t>
      </w:r>
      <w:r w:rsidRPr="00A12153">
        <w:t xml:space="preserve"> </w:t>
      </w:r>
      <w:r w:rsidR="00124BE9" w:rsidRPr="00124BE9">
        <w:t>This can result in chronic volume imbalance, a well-established risk factor for adverse cardiovascular outcomes in hemodialysis patients.  Even in the absence of acute coronary events, chronic volume excess can lead to elevated cardiac troponin levels, diastolic dysfunction, and ultimately heart failure, which are all contributed to by left ventricular hypertrophy</w:t>
      </w:r>
      <w:r w:rsidR="00124BE9">
        <w:t xml:space="preserve"> </w:t>
      </w:r>
      <w:r w:rsidRPr="00DE46B5">
        <w:rPr>
          <w:vertAlign w:val="superscript"/>
        </w:rPr>
        <w:fldChar w:fldCharType="begin"/>
      </w:r>
      <w:r w:rsidR="007C3A5C" w:rsidRPr="00DE46B5">
        <w:rPr>
          <w:vertAlign w:val="superscript"/>
        </w:rPr>
        <w:instrText xml:space="preserve"> ADDIN EN.CITE &lt;EndNote&gt;&lt;Cite&gt;&lt;Author&gt;Neeland&lt;/Author&gt;&lt;Year&gt;2013&lt;/Year&gt;&lt;RecNum&gt;18&lt;/RecNum&gt;&lt;DisplayText&gt;(18)&lt;/DisplayText&gt;&lt;record&gt;&lt;rec-number&gt;18&lt;/rec-number&gt;&lt;foreign-keys&gt;&lt;key app="EN" db-id="xzrd9vwasasfetevdw650faezp0zp0wddw95" timestamp="1753101994"&gt;18&lt;/key&gt;&lt;/foreign-keys&gt;&lt;ref-type name="Journal Article"&gt;17&lt;/ref-type&gt;&lt;contributors&gt;&lt;authors&gt;&lt;author&gt;Ian J. Neeland&lt;/author&gt;&lt;author&gt;Mark H. Drazner&lt;/author&gt;&lt;author&gt;Jarett D. Berry&lt;/author&gt;&lt;author&gt;Colby R. Ayers&lt;/author&gt;&lt;author&gt;Christopher deFilippi&lt;/author&gt;&lt;author&gt;Stephen L. Seliger&lt;/author&gt;&lt;author&gt;Vijay Nambi&lt;/author&gt;&lt;author&gt;Darren K. McGuire&lt;/author&gt;&lt;author&gt;Torbjørn Omland&lt;/author&gt;&lt;author&gt;James A. de Lemos&lt;/author&gt;&lt;/authors&gt;&lt;/contributors&gt;&lt;titles&gt;&lt;title&gt;Biomarkers of Chronic Cardiac Injury and Hemodynamic Stress Identify a Malignant Phenotype of Left Ventricular Hypertrophy in the General Population&lt;/title&gt;&lt;secondary-title&gt;JACC&lt;/secondary-title&gt;&lt;/titles&gt;&lt;periodical&gt;&lt;full-title&gt;JACC&lt;/full-title&gt;&lt;/periodical&gt;&lt;pages&gt;187-195&lt;/pages&gt;&lt;volume&gt;61&lt;/volume&gt;&lt;number&gt;2&lt;/number&gt;&lt;dates&gt;&lt;year&gt;2013&lt;/year&gt;&lt;/dates&gt;&lt;urls&gt;&lt;related-urls&gt;&lt;url&gt;https://www.jacc.org/doi/abs/10.1016/j.jacc.2012.10.012&lt;/url&gt;&lt;/related-urls&gt;&lt;/urls&gt;&lt;electronic-resource-num&gt;doi:10.1016/j.jacc.2012.10.012&lt;/electronic-resource-num&gt;&lt;/record&gt;&lt;/Cite&gt;&lt;/EndNote&gt;</w:instrText>
      </w:r>
      <w:r w:rsidRPr="00DE46B5">
        <w:rPr>
          <w:vertAlign w:val="superscript"/>
        </w:rPr>
        <w:fldChar w:fldCharType="separate"/>
      </w:r>
      <w:r w:rsidR="00A12153" w:rsidRPr="00DE46B5">
        <w:rPr>
          <w:noProof/>
          <w:vertAlign w:val="superscript"/>
        </w:rPr>
        <w:t>(18)</w:t>
      </w:r>
      <w:r w:rsidRPr="00DE46B5">
        <w:rPr>
          <w:vertAlign w:val="superscript"/>
        </w:rPr>
        <w:fldChar w:fldCharType="end"/>
      </w:r>
      <w:r w:rsidRPr="00A12153">
        <w:t>.</w:t>
      </w:r>
    </w:p>
    <w:p w14:paraId="2210DE19" w14:textId="77777777" w:rsidR="00124BE9" w:rsidRDefault="00124BE9" w:rsidP="00D0481A">
      <w:pPr>
        <w:pStyle w:val="P"/>
      </w:pPr>
      <w:r w:rsidRPr="00124BE9">
        <w:lastRenderedPageBreak/>
        <w:t xml:space="preserve">The diagnostic efficacy of these biomarkers for detecting myocardial injury was evaluated in this study. The results indicated that </w:t>
      </w:r>
      <w:proofErr w:type="spellStart"/>
      <w:r w:rsidRPr="00124BE9">
        <w:t>hs-cTnT</w:t>
      </w:r>
      <w:proofErr w:type="spellEnd"/>
      <w:r w:rsidRPr="00124BE9">
        <w:t xml:space="preserve"> had the highest diagnostic accuracy (AUC 0.808) at a cutoff of 12 ng/dL, with adequate sensitivity (75%) and specificity (81.6%).  </w:t>
      </w:r>
      <w:proofErr w:type="spellStart"/>
      <w:r w:rsidRPr="00124BE9">
        <w:t>hs-cTnI</w:t>
      </w:r>
      <w:proofErr w:type="spellEnd"/>
      <w:r w:rsidRPr="00124BE9">
        <w:t xml:space="preserve"> exhibited a slightly reduced but still reasonable performance (AUC 0.796, sensitivity 75%, specificity 78.9%).</w:t>
      </w:r>
      <w:r>
        <w:t xml:space="preserve"> </w:t>
      </w:r>
    </w:p>
    <w:p w14:paraId="17C48216" w14:textId="3B00B897" w:rsidR="00124BE9" w:rsidRDefault="00124BE9" w:rsidP="00D0481A">
      <w:pPr>
        <w:pStyle w:val="P"/>
      </w:pPr>
      <w:r w:rsidRPr="00124BE9">
        <w:t xml:space="preserve">The current cut-off value for </w:t>
      </w:r>
      <w:proofErr w:type="spellStart"/>
      <w:r w:rsidRPr="00124BE9">
        <w:t>hs-cTnT</w:t>
      </w:r>
      <w:proofErr w:type="spellEnd"/>
      <w:r w:rsidRPr="00124BE9">
        <w:t xml:space="preserve"> in the diagnosis of acute myocardial infarction would be of no utility to patients undergoing chronic hemodialysis, as nearly all patients in this study exhibited elevated levels of </w:t>
      </w:r>
      <w:proofErr w:type="spellStart"/>
      <w:r w:rsidRPr="00124BE9">
        <w:t>hs-cTnT</w:t>
      </w:r>
      <w:proofErr w:type="spellEnd"/>
      <w:r w:rsidRPr="00124BE9">
        <w:t xml:space="preserve">.  As a result, the diagnosis of acute myocardial infarction should be made on the basis of a </w:t>
      </w:r>
      <w:r w:rsidR="0076047B" w:rsidRPr="00124BE9">
        <w:t>significant</w:t>
      </w:r>
      <w:r w:rsidRPr="00124BE9">
        <w:t xml:space="preserve"> increase and subsequent decline in sequential </w:t>
      </w:r>
      <w:proofErr w:type="spellStart"/>
      <w:r w:rsidRPr="00124BE9">
        <w:t>hs-cTnT</w:t>
      </w:r>
      <w:proofErr w:type="spellEnd"/>
      <w:r w:rsidRPr="00124BE9">
        <w:t xml:space="preserve"> levels, rather than a single elevated level of </w:t>
      </w:r>
      <w:proofErr w:type="spellStart"/>
      <w:r w:rsidRPr="00124BE9">
        <w:t>hs-cTnT</w:t>
      </w:r>
      <w:proofErr w:type="spellEnd"/>
      <w:r w:rsidRPr="00124BE9">
        <w:t>.</w:t>
      </w:r>
      <w:r>
        <w:t xml:space="preserve"> </w:t>
      </w:r>
    </w:p>
    <w:p w14:paraId="5193B69E" w14:textId="72847497" w:rsidR="007822D1" w:rsidRPr="00A12153" w:rsidRDefault="00124BE9" w:rsidP="00D0481A">
      <w:pPr>
        <w:pStyle w:val="P"/>
      </w:pPr>
      <w:r w:rsidRPr="00124BE9">
        <w:t xml:space="preserve">The prognostic value of </w:t>
      </w:r>
      <w:proofErr w:type="spellStart"/>
      <w:r w:rsidRPr="00124BE9">
        <w:t>hs-cTnT</w:t>
      </w:r>
      <w:proofErr w:type="spellEnd"/>
      <w:r w:rsidRPr="00124BE9">
        <w:t xml:space="preserve"> in pre-dialysis advanced CKD patients has been the subject of previous research.  In comparison to the standard cutoff level employed in individuals with normal renal function, they found that individuals with a GFR of less than 20 ml/min/1.73 m2 exhibited a 2.5-fold increase in the </w:t>
      </w:r>
      <w:proofErr w:type="spellStart"/>
      <w:r w:rsidRPr="00124BE9">
        <w:t>hs-cTnT</w:t>
      </w:r>
      <w:proofErr w:type="spellEnd"/>
      <w:r w:rsidRPr="00124BE9">
        <w:t xml:space="preserve"> cutoff level to predict long-term cardiovascular outcomes.  The threshold level of </w:t>
      </w:r>
      <w:proofErr w:type="spellStart"/>
      <w:r w:rsidRPr="00124BE9">
        <w:t>hs-cTnT</w:t>
      </w:r>
      <w:proofErr w:type="spellEnd"/>
      <w:r w:rsidRPr="00124BE9">
        <w:t xml:space="preserve"> in this patient group has been suggested to be 35 ng/dL</w:t>
      </w:r>
      <w:r>
        <w:t xml:space="preserve"> </w:t>
      </w:r>
      <w:r w:rsidR="007822D1" w:rsidRPr="00DE46B5">
        <w:rPr>
          <w:vertAlign w:val="superscript"/>
        </w:rPr>
        <w:fldChar w:fldCharType="begin"/>
      </w:r>
      <w:r w:rsidR="007C3A5C" w:rsidRPr="00DE46B5">
        <w:rPr>
          <w:vertAlign w:val="superscript"/>
        </w:rPr>
        <w:instrText xml:space="preserve"> ADDIN EN.CITE &lt;EndNote&gt;&lt;Cite&gt;&lt;Author&gt;Canney&lt;/Author&gt;&lt;Year&gt;2019&lt;/Year&gt;&lt;RecNum&gt;19&lt;/RecNum&gt;&lt;DisplayText&gt;(19)&lt;/DisplayText&gt;&lt;record&gt;&lt;rec-number&gt;19&lt;/rec-number&gt;&lt;foreign-keys&gt;&lt;key app="EN" db-id="xzrd9vwasasfetevdw650faezp0zp0wddw95" timestamp="1753101994"&gt;19&lt;/key&gt;&lt;/foreign-keys&gt;&lt;ref-type name="Journal Article"&gt;17&lt;/ref-type&gt;&lt;contributors&gt;&lt;authors&gt;&lt;author&gt;Canney, Mark&lt;/author&gt;&lt;author&gt;Tang, Mila&lt;/author&gt;&lt;author&gt;Er, Lee&lt;/author&gt;&lt;author&gt;Barbour, Sean J&lt;/author&gt;&lt;author&gt;Djurdjev, Ognjenka&lt;/author&gt;&lt;author&gt;Levin, Adeera&lt;/author&gt;&lt;author&gt;CanPREDDICT Investigators&lt;/author&gt;&lt;/authors&gt;&lt;/contributors&gt;&lt;titles&gt;&lt;title&gt;Glomerular filtration rate-specific cutoffs can refine the prognostic value of circulating cardiac biomarkers in advanced chronic kidney disease&lt;/title&gt;&lt;secondary-title&gt;Can J Cardiol&lt;/secondary-title&gt;&lt;/titles&gt;&lt;periodical&gt;&lt;full-title&gt;Can J Cardiol&lt;/full-title&gt;&lt;/periodical&gt;&lt;pages&gt;1106-1113&lt;/pages&gt;&lt;volume&gt;35&lt;/volume&gt;&lt;number&gt;9&lt;/number&gt;&lt;dates&gt;&lt;year&gt;2019&lt;/year&gt;&lt;/dates&gt;&lt;isbn&gt;0828-282X&lt;/isbn&gt;&lt;urls&gt;&lt;/urls&gt;&lt;/record&gt;&lt;/Cite&gt;&lt;/EndNote&gt;</w:instrText>
      </w:r>
      <w:r w:rsidR="007822D1" w:rsidRPr="00DE46B5">
        <w:rPr>
          <w:vertAlign w:val="superscript"/>
        </w:rPr>
        <w:fldChar w:fldCharType="separate"/>
      </w:r>
      <w:r w:rsidR="00A12153" w:rsidRPr="00DE46B5">
        <w:rPr>
          <w:noProof/>
          <w:vertAlign w:val="superscript"/>
        </w:rPr>
        <w:t>(19)</w:t>
      </w:r>
      <w:r w:rsidR="007822D1" w:rsidRPr="00DE46B5">
        <w:rPr>
          <w:vertAlign w:val="superscript"/>
        </w:rPr>
        <w:fldChar w:fldCharType="end"/>
      </w:r>
      <w:r w:rsidR="007822D1" w:rsidRPr="00A12153">
        <w:t xml:space="preserve">. </w:t>
      </w:r>
      <w:r w:rsidRPr="00124BE9">
        <w:t xml:space="preserve">Nevertheless, the prognostic value of </w:t>
      </w:r>
      <w:proofErr w:type="spellStart"/>
      <w:r w:rsidRPr="00124BE9">
        <w:t>hs-cTn</w:t>
      </w:r>
      <w:proofErr w:type="spellEnd"/>
      <w:r w:rsidRPr="00124BE9">
        <w:t xml:space="preserve"> in patients with ESRD is inconsistently reported.   In certain studies, the </w:t>
      </w:r>
      <w:proofErr w:type="spellStart"/>
      <w:r w:rsidRPr="00124BE9">
        <w:t>hs-cTn</w:t>
      </w:r>
      <w:proofErr w:type="spellEnd"/>
      <w:r w:rsidRPr="00124BE9">
        <w:t xml:space="preserve"> T is a more precise predictor of long-term cardiovascular outcomes than the </w:t>
      </w:r>
      <w:proofErr w:type="spellStart"/>
      <w:r w:rsidRPr="00124BE9">
        <w:t>hs-cTnI</w:t>
      </w:r>
      <w:proofErr w:type="spellEnd"/>
      <w:r w:rsidRPr="00124BE9">
        <w:t xml:space="preserve"> in patients with chronic hemodialysis</w:t>
      </w:r>
      <w:r>
        <w:t xml:space="preserve"> </w:t>
      </w:r>
      <w:r w:rsidR="007822D1" w:rsidRPr="00DE46B5">
        <w:rPr>
          <w:vertAlign w:val="superscript"/>
        </w:rPr>
        <w:fldChar w:fldCharType="begin">
          <w:fldData xml:space="preserve">PEVuZE5vdGU+PENpdGU+PEF1dGhvcj5LYWxhamk8L0F1dGhvcj48WWVhcj4yMDEyPC9ZZWFyPjxS
ZWNOdW0+MjA8L1JlY051bT48RGlzcGxheVRleHQ+KDIwLTIzKTwvRGlzcGxheVRleHQ+PHJlY29y
ZD48cmVjLW51bWJlcj4yMDwvcmVjLW51bWJlcj48Zm9yZWlnbi1rZXlzPjxrZXkgYXBwPSJFTiIg
ZGItaWQ9Inh6cmQ5dndhc2FzZmV0ZXZkdzY1MGZhZXpwMHpwMHdkZHc5NSIgdGltZXN0YW1wPSIx
NzUzMTAxOTk0Ij4yMDwva2V5PjwvZm9yZWlnbi1rZXlzPjxyZWYtdHlwZSBuYW1lPSJKb3VybmFs
IEFydGljbGUiPjE3PC9yZWYtdHlwZT48Y29udHJpYnV0b3JzPjxhdXRob3JzPjxhdXRob3I+S2Fs
YWppLCBGYWl6YSBSYXdhczwvYXV0aG9yPjxhdXRob3I+QWxiaXRhciwgU2FtaTwvYXV0aG9yPjwv
YXV0aG9ycz48L2NvbnRyaWJ1dG9ycz48dGl0bGVzPjx0aXRsZT5QcmVkaWN0aXZlIHZhbHVlIG9m
IGNhcmRpYWMgdHJvcG9uaW4gVCBhbmQgSSBpbiBoZW1vZGlhbHlzaXMgcGF0aWVudHM8L3RpdGxl
PjxzZWNvbmRhcnktdGl0bGU+U2F1ZGkgSiBLaWRuZXkgRGlzIFRyYW5zcGw8L3NlY29uZGFyeS10
aXRsZT48L3RpdGxlcz48cGVyaW9kaWNhbD48ZnVsbC10aXRsZT5TYXVkaSBKIEtpZG5leSBEaXMg
VHJhbnNwbDwvZnVsbC10aXRsZT48L3BlcmlvZGljYWw+PHBhZ2VzPjkzOS05NDU8L3BhZ2VzPjx2
b2x1bWU+MjM8L3ZvbHVtZT48bnVtYmVyPjU8L251bWJlcj48ZGF0ZXM+PHllYXI+MjAxMjwveWVh
cj48L2RhdGVzPjxpc2JuPjEzMTktMjQ0MjwvaXNibj48dXJscz48L3VybHM+PC9yZWNvcmQ+PC9D
aXRlPjxDaXRlPjxBdXRob3I+UG9ydGVyPC9BdXRob3I+PFllYXI+MjAwMDwvWWVhcj48UmVjTnVt
PjIxPC9SZWNOdW0+PHJlY29yZD48cmVjLW51bWJlcj4yMTwvcmVjLW51bWJlcj48Zm9yZWlnbi1r
ZXlzPjxrZXkgYXBwPSJFTiIgZGItaWQ9Inh6cmQ5dndhc2FzZmV0ZXZkdzY1MGZhZXpwMHpwMHdk
ZHc5NSIgdGltZXN0YW1wPSIxNzUzMTAxOTk0Ij4yMTwva2V5PjwvZm9yZWlnbi1rZXlzPjxyZWYt
dHlwZSBuYW1lPSJKb3VybmFsIEFydGljbGUiPjE3PC9yZWYtdHlwZT48Y29udHJpYnV0b3JzPjxh
dXRob3JzPjxhdXRob3I+UG9ydGVyLCBHQTwvYXV0aG9yPjxhdXRob3I+Tm9ydG9uLCBUPC9hdXRo
b3I+PGF1dGhvcj5CZW5uZXR0LCBXTTwvYXV0aG9yPjwvYXV0aG9ycz48L2NvbnRyaWJ1dG9ycz48
dGl0bGVzPjx0aXRsZT5Mb25nIHRlcm0gZm9sbG93IHVwIG9mIHRoZSB1dGlsaXR5IG9mIHRyb3Bv
bmluIFQgdG8gYXNzZXNzIGNhcmRpYWMgcmlzayBpbiBzdGFibGUgY2hyb25pYyBoZW1vZGlhbHlz
aXMgcGF0aWVudHM8L3RpdGxlPjxzZWNvbmRhcnktdGl0bGU+Q2xpbiBMYWI8L3NlY29uZGFyeS10
aXRsZT48L3RpdGxlcz48cGVyaW9kaWNhbD48ZnVsbC10aXRsZT5DbGluIExhYjwvZnVsbC10aXRs
ZT48L3BlcmlvZGljYWw+PHBhZ2VzPjQ2OS00NzY8L3BhZ2VzPjx2b2x1bWU+NDY8L3ZvbHVtZT48
bnVtYmVyPjktMTA8L251bWJlcj48ZGF0ZXM+PHllYXI+MjAwMDwveWVhcj48L2RhdGVzPjxpc2Ju
PjE0MzMtNjUxMDwvaXNibj48dXJscz48L3VybHM+PC9yZWNvcmQ+PC9DaXRlPjxDaXRlPjxBdXRo
b3I+SGlja21hbjwvQXV0aG9yPjxZZWFyPjIwMTU8L1llYXI+PFJlY051bT4yMjwvUmVjTnVtPjxy
ZWNvcmQ+PHJlYy1udW1iZXI+MjI8L3JlYy1udW1iZXI+PGZvcmVpZ24ta2V5cz48a2V5IGFwcD0i
RU4iIGRiLWlkPSJ4enJkOXZ3YXNhc2ZldGV2ZHc2NTBmYWV6cDB6cDB3ZGR3OTUiIHRpbWVzdGFt
cD0iMTc1MzEwMTk5NCI+MjI8L2tleT48L2ZvcmVpZ24ta2V5cz48cmVmLXR5cGUgbmFtZT0iSm91
cm5hbCBBcnRpY2xlIj4xNzwvcmVmLXR5cGU+PGNvbnRyaWJ1dG9ycz48YXV0aG9ycz48YXV0aG9y
PkhpY2ttYW4sIFBldGVyIEU8L2F1dGhvcj48YXV0aG9yPk1jR2lsbCwgRGFycnlsPC9hdXRob3I+
PGF1dGhvcj5Qb3R0ZXIsIEp1bGlhIE08L2F1dGhvcj48YXV0aG9yPktvZXJiaW4sIEd1czwvYXV0
aG9yPjxhdXRob3I+QXBwbGUsIEZyZWQgUzwvYXV0aG9yPjxhdXRob3I+VGFsYXVsaWthciwgR2ly
aXNoPC9hdXRob3I+PC9hdXRob3JzPjwvY29udHJpYnV0b3JzPjx0aXRsZXM+PHRpdGxlPk11bHRp
cGxlIGJpb21hcmtlcnMgaW5jbHVkaW5nIGNhcmRpYWMgdHJvcG9uaW5zIFQgYW5kIEkgbWVhc3Vy
ZWQgYnkgaGlnaC1zZW5zaXRpdml0eSBhc3NheXMsIGFzIHByZWRpY3RvcnMgb2YgbG9uZy10ZXJt
IG1vcnRhbGl0eSBpbiBwYXRpZW50cyB3aXRoIGNocm9uaWMgcmVuYWwgZmFpbHVyZSB3aG8gdW5k
ZXJ3ZW50IGRpYWx5c2lzPC90aXRsZT48c2Vjb25kYXJ5LXRpdGxlPkFtIEogQ2FyZGlvbDwvc2Vj
b25kYXJ5LXRpdGxlPjwvdGl0bGVzPjxwZXJpb2RpY2FsPjxmdWxsLXRpdGxlPkFtIEogQ2FyZGlv
bDwvZnVsbC10aXRsZT48L3BlcmlvZGljYWw+PHBhZ2VzPjE2MDEtMTYwNjwvcGFnZXM+PHZvbHVt
ZT4xMTU8L3ZvbHVtZT48bnVtYmVyPjExPC9udW1iZXI+PGRhdGVzPjx5ZWFyPjIwMTU8L3llYXI+
PC9kYXRlcz48aXNibj4wMDAyLTkxNDk8L2lzYm4+PHVybHM+PC91cmxzPjwvcmVjb3JkPjwvQ2l0
ZT48Q2l0ZT48QXV0aG9yPktoYW48L0F1dGhvcj48WWVhcj4yMDAxPC9ZZWFyPjxSZWNOdW0+MjM8
L1JlY051bT48cmVjb3JkPjxyZWMtbnVtYmVyPjIzPC9yZWMtbnVtYmVyPjxmb3JlaWduLWtleXM+
PGtleSBhcHA9IkVOIiBkYi1pZD0ieHpyZDl2d2FzYXNmZXRldmR3NjUwZmFlenAwenAwd2Rkdzk1
IiB0aW1lc3RhbXA9IjE3NTMxMDE5OTQiPjIzPC9rZXk+PC9mb3JlaWduLWtleXM+PHJlZi10eXBl
IG5hbWU9IkpvdXJuYWwgQXJ0aWNsZSI+MTc8L3JlZi10eXBlPjxjb250cmlidXRvcnM+PGF1dGhv
cnM+PGF1dGhvcj5LaGFuLCBJamF6IEE8L2F1dGhvcj48YXV0aG9yPldhdHRhbmFzdXdhbiwgTm9y
cmFwb2w8L2F1dGhvcj48YXV0aG9yPk1laHRhLCBOaXJhdiBKPC9hdXRob3I+PGF1dGhvcj5UdW4s
IEF1bmc8L2F1dGhvcj48YXV0aG9yPlNpbmdoLCBOYXJwaW5kZXI8L2F1dGhvcj48YXV0aG9yPlNp
bmdoLCBIYXJpbmRlciBLPC9hdXRob3I+PGF1dGhvcj5WYXNhdmFkYSwgQmFsZW5kdSBDPC9hdXRo
b3I+PGF1dGhvcj5TYWNjaGksIFRlcnJlbmNlIEo8L2F1dGhvcj48L2F1dGhvcnM+PC9jb250cmli
dXRvcnM+PHRpdGxlcz48dGl0bGU+UHJvZ25vc3RpYyB2YWx1ZSBvZiBzZXJ1bSBjYXJkaWFjIHRy
b3BvbmluIEkgaW4gYW1idWxhdG9yeSBwYXRpZW50cyB3aXRoIGNocm9uaWMgcmVuYWwgZmFpbHVy
ZSB1bmRlcmdvaW5nIGxvbmctdGVybSBoZW1vZGlhbHlzaXM6IGEgdHdvLXllYXIgb3V0Y29tZSBh
bmFseXNpczwvdGl0bGU+PHNlY29uZGFyeS10aXRsZT5KIEFtIENvbGwgQ2FyZGlvbDwvc2Vjb25k
YXJ5LXRpdGxlPjwvdGl0bGVzPjxwZXJpb2RpY2FsPjxmdWxsLXRpdGxlPkogQW0gQ29sbCBDYXJk
aW9sPC9mdWxsLXRpdGxlPjwvcGVyaW9kaWNhbD48cGFnZXM+OTkxLTk5ODwvcGFnZXM+PHZvbHVt
ZT4zODwvdm9sdW1lPjxudW1iZXI+NDwvbnVtYmVyPjxkYXRlcz48eWVhcj4yMDAxPC95ZWFyPjwv
ZGF0ZXM+PGlzYm4+MDczNS0xMDk3PC9pc2JuPjx1cmxzPjwvdXJscz48L3JlY29yZD48L0NpdGU+
PC9FbmROb3RlPgB=
</w:fldData>
        </w:fldChar>
      </w:r>
      <w:r w:rsidR="007C3A5C" w:rsidRPr="00DE46B5">
        <w:rPr>
          <w:vertAlign w:val="superscript"/>
        </w:rPr>
        <w:instrText xml:space="preserve"> ADDIN EN.CITE </w:instrText>
      </w:r>
      <w:r w:rsidR="007C3A5C" w:rsidRPr="00DE46B5">
        <w:rPr>
          <w:vertAlign w:val="superscript"/>
        </w:rPr>
        <w:fldChar w:fldCharType="begin">
          <w:fldData xml:space="preserve">PEVuZE5vdGU+PENpdGU+PEF1dGhvcj5LYWxhamk8L0F1dGhvcj48WWVhcj4yMDEyPC9ZZWFyPjxS
ZWNOdW0+MjA8L1JlY051bT48RGlzcGxheVRleHQ+KDIwLTIzKTwvRGlzcGxheVRleHQ+PHJlY29y
ZD48cmVjLW51bWJlcj4yMDwvcmVjLW51bWJlcj48Zm9yZWlnbi1rZXlzPjxrZXkgYXBwPSJFTiIg
ZGItaWQ9Inh6cmQ5dndhc2FzZmV0ZXZkdzY1MGZhZXpwMHpwMHdkZHc5NSIgdGltZXN0YW1wPSIx
NzUzMTAxOTk0Ij4yMDwva2V5PjwvZm9yZWlnbi1rZXlzPjxyZWYtdHlwZSBuYW1lPSJKb3VybmFs
IEFydGljbGUiPjE3PC9yZWYtdHlwZT48Y29udHJpYnV0b3JzPjxhdXRob3JzPjxhdXRob3I+S2Fs
YWppLCBGYWl6YSBSYXdhczwvYXV0aG9yPjxhdXRob3I+QWxiaXRhciwgU2FtaTwvYXV0aG9yPjwv
YXV0aG9ycz48L2NvbnRyaWJ1dG9ycz48dGl0bGVzPjx0aXRsZT5QcmVkaWN0aXZlIHZhbHVlIG9m
IGNhcmRpYWMgdHJvcG9uaW4gVCBhbmQgSSBpbiBoZW1vZGlhbHlzaXMgcGF0aWVudHM8L3RpdGxl
PjxzZWNvbmRhcnktdGl0bGU+U2F1ZGkgSiBLaWRuZXkgRGlzIFRyYW5zcGw8L3NlY29uZGFyeS10
aXRsZT48L3RpdGxlcz48cGVyaW9kaWNhbD48ZnVsbC10aXRsZT5TYXVkaSBKIEtpZG5leSBEaXMg
VHJhbnNwbDwvZnVsbC10aXRsZT48L3BlcmlvZGljYWw+PHBhZ2VzPjkzOS05NDU8L3BhZ2VzPjx2
b2x1bWU+MjM8L3ZvbHVtZT48bnVtYmVyPjU8L251bWJlcj48ZGF0ZXM+PHllYXI+MjAxMjwveWVh
cj48L2RhdGVzPjxpc2JuPjEzMTktMjQ0MjwvaXNibj48dXJscz48L3VybHM+PC9yZWNvcmQ+PC9D
aXRlPjxDaXRlPjxBdXRob3I+UG9ydGVyPC9BdXRob3I+PFllYXI+MjAwMDwvWWVhcj48UmVjTnVt
PjIxPC9SZWNOdW0+PHJlY29yZD48cmVjLW51bWJlcj4yMTwvcmVjLW51bWJlcj48Zm9yZWlnbi1r
ZXlzPjxrZXkgYXBwPSJFTiIgZGItaWQ9Inh6cmQ5dndhc2FzZmV0ZXZkdzY1MGZhZXpwMHpwMHdk
ZHc5NSIgdGltZXN0YW1wPSIxNzUzMTAxOTk0Ij4yMTwva2V5PjwvZm9yZWlnbi1rZXlzPjxyZWYt
dHlwZSBuYW1lPSJKb3VybmFsIEFydGljbGUiPjE3PC9yZWYtdHlwZT48Y29udHJpYnV0b3JzPjxh
dXRob3JzPjxhdXRob3I+UG9ydGVyLCBHQTwvYXV0aG9yPjxhdXRob3I+Tm9ydG9uLCBUPC9hdXRo
b3I+PGF1dGhvcj5CZW5uZXR0LCBXTTwvYXV0aG9yPjwvYXV0aG9ycz48L2NvbnRyaWJ1dG9ycz48
dGl0bGVzPjx0aXRsZT5Mb25nIHRlcm0gZm9sbG93IHVwIG9mIHRoZSB1dGlsaXR5IG9mIHRyb3Bv
bmluIFQgdG8gYXNzZXNzIGNhcmRpYWMgcmlzayBpbiBzdGFibGUgY2hyb25pYyBoZW1vZGlhbHlz
aXMgcGF0aWVudHM8L3RpdGxlPjxzZWNvbmRhcnktdGl0bGU+Q2xpbiBMYWI8L3NlY29uZGFyeS10
aXRsZT48L3RpdGxlcz48cGVyaW9kaWNhbD48ZnVsbC10aXRsZT5DbGluIExhYjwvZnVsbC10aXRs
ZT48L3BlcmlvZGljYWw+PHBhZ2VzPjQ2OS00NzY8L3BhZ2VzPjx2b2x1bWU+NDY8L3ZvbHVtZT48
bnVtYmVyPjktMTA8L251bWJlcj48ZGF0ZXM+PHllYXI+MjAwMDwveWVhcj48L2RhdGVzPjxpc2Ju
PjE0MzMtNjUxMDwvaXNibj48dXJscz48L3VybHM+PC9yZWNvcmQ+PC9DaXRlPjxDaXRlPjxBdXRo
b3I+SGlja21hbjwvQXV0aG9yPjxZZWFyPjIwMTU8L1llYXI+PFJlY051bT4yMjwvUmVjTnVtPjxy
ZWNvcmQ+PHJlYy1udW1iZXI+MjI8L3JlYy1udW1iZXI+PGZvcmVpZ24ta2V5cz48a2V5IGFwcD0i
RU4iIGRiLWlkPSJ4enJkOXZ3YXNhc2ZldGV2ZHc2NTBmYWV6cDB6cDB3ZGR3OTUiIHRpbWVzdGFt
cD0iMTc1MzEwMTk5NCI+MjI8L2tleT48L2ZvcmVpZ24ta2V5cz48cmVmLXR5cGUgbmFtZT0iSm91
cm5hbCBBcnRpY2xlIj4xNzwvcmVmLXR5cGU+PGNvbnRyaWJ1dG9ycz48YXV0aG9ycz48YXV0aG9y
PkhpY2ttYW4sIFBldGVyIEU8L2F1dGhvcj48YXV0aG9yPk1jR2lsbCwgRGFycnlsPC9hdXRob3I+
PGF1dGhvcj5Qb3R0ZXIsIEp1bGlhIE08L2F1dGhvcj48YXV0aG9yPktvZXJiaW4sIEd1czwvYXV0
aG9yPjxhdXRob3I+QXBwbGUsIEZyZWQgUzwvYXV0aG9yPjxhdXRob3I+VGFsYXVsaWthciwgR2ly
aXNoPC9hdXRob3I+PC9hdXRob3JzPjwvY29udHJpYnV0b3JzPjx0aXRsZXM+PHRpdGxlPk11bHRp
cGxlIGJpb21hcmtlcnMgaW5jbHVkaW5nIGNhcmRpYWMgdHJvcG9uaW5zIFQgYW5kIEkgbWVhc3Vy
ZWQgYnkgaGlnaC1zZW5zaXRpdml0eSBhc3NheXMsIGFzIHByZWRpY3RvcnMgb2YgbG9uZy10ZXJt
IG1vcnRhbGl0eSBpbiBwYXRpZW50cyB3aXRoIGNocm9uaWMgcmVuYWwgZmFpbHVyZSB3aG8gdW5k
ZXJ3ZW50IGRpYWx5c2lzPC90aXRsZT48c2Vjb25kYXJ5LXRpdGxlPkFtIEogQ2FyZGlvbDwvc2Vj
b25kYXJ5LXRpdGxlPjwvdGl0bGVzPjxwZXJpb2RpY2FsPjxmdWxsLXRpdGxlPkFtIEogQ2FyZGlv
bDwvZnVsbC10aXRsZT48L3BlcmlvZGljYWw+PHBhZ2VzPjE2MDEtMTYwNjwvcGFnZXM+PHZvbHVt
ZT4xMTU8L3ZvbHVtZT48bnVtYmVyPjExPC9udW1iZXI+PGRhdGVzPjx5ZWFyPjIwMTU8L3llYXI+
PC9kYXRlcz48aXNibj4wMDAyLTkxNDk8L2lzYm4+PHVybHM+PC91cmxzPjwvcmVjb3JkPjwvQ2l0
ZT48Q2l0ZT48QXV0aG9yPktoYW48L0F1dGhvcj48WWVhcj4yMDAxPC9ZZWFyPjxSZWNOdW0+MjM8
L1JlY051bT48cmVjb3JkPjxyZWMtbnVtYmVyPjIzPC9yZWMtbnVtYmVyPjxmb3JlaWduLWtleXM+
PGtleSBhcHA9IkVOIiBkYi1pZD0ieHpyZDl2d2FzYXNmZXRldmR3NjUwZmFlenAwenAwd2Rkdzk1
IiB0aW1lc3RhbXA9IjE3NTMxMDE5OTQiPjIzPC9rZXk+PC9mb3JlaWduLWtleXM+PHJlZi10eXBl
IG5hbWU9IkpvdXJuYWwgQXJ0aWNsZSI+MTc8L3JlZi10eXBlPjxjb250cmlidXRvcnM+PGF1dGhv
cnM+PGF1dGhvcj5LaGFuLCBJamF6IEE8L2F1dGhvcj48YXV0aG9yPldhdHRhbmFzdXdhbiwgTm9y
cmFwb2w8L2F1dGhvcj48YXV0aG9yPk1laHRhLCBOaXJhdiBKPC9hdXRob3I+PGF1dGhvcj5UdW4s
IEF1bmc8L2F1dGhvcj48YXV0aG9yPlNpbmdoLCBOYXJwaW5kZXI8L2F1dGhvcj48YXV0aG9yPlNp
bmdoLCBIYXJpbmRlciBLPC9hdXRob3I+PGF1dGhvcj5WYXNhdmFkYSwgQmFsZW5kdSBDPC9hdXRo
b3I+PGF1dGhvcj5TYWNjaGksIFRlcnJlbmNlIEo8L2F1dGhvcj48L2F1dGhvcnM+PC9jb250cmli
dXRvcnM+PHRpdGxlcz48dGl0bGU+UHJvZ25vc3RpYyB2YWx1ZSBvZiBzZXJ1bSBjYXJkaWFjIHRy
b3BvbmluIEkgaW4gYW1idWxhdG9yeSBwYXRpZW50cyB3aXRoIGNocm9uaWMgcmVuYWwgZmFpbHVy
ZSB1bmRlcmdvaW5nIGxvbmctdGVybSBoZW1vZGlhbHlzaXM6IGEgdHdvLXllYXIgb3V0Y29tZSBh
bmFseXNpczwvdGl0bGU+PHNlY29uZGFyeS10aXRsZT5KIEFtIENvbGwgQ2FyZGlvbDwvc2Vjb25k
YXJ5LXRpdGxlPjwvdGl0bGVzPjxwZXJpb2RpY2FsPjxmdWxsLXRpdGxlPkogQW0gQ29sbCBDYXJk
aW9sPC9mdWxsLXRpdGxlPjwvcGVyaW9kaWNhbD48cGFnZXM+OTkxLTk5ODwvcGFnZXM+PHZvbHVt
ZT4zODwvdm9sdW1lPjxudW1iZXI+NDwvbnVtYmVyPjxkYXRlcz48eWVhcj4yMDAxPC95ZWFyPjwv
ZGF0ZXM+PGlzYm4+MDczNS0xMDk3PC9pc2JuPjx1cmxzPjwvdXJscz48L3JlY29yZD48L0NpdGU+
PC9FbmROb3RlPgB=
</w:fldData>
        </w:fldChar>
      </w:r>
      <w:r w:rsidR="007C3A5C" w:rsidRPr="00DE46B5">
        <w:rPr>
          <w:vertAlign w:val="superscript"/>
        </w:rPr>
        <w:instrText xml:space="preserve"> ADDIN EN.CITE.DATA </w:instrText>
      </w:r>
      <w:r w:rsidR="007C3A5C" w:rsidRPr="00DE46B5">
        <w:rPr>
          <w:vertAlign w:val="superscript"/>
        </w:rPr>
      </w:r>
      <w:r w:rsidR="007C3A5C" w:rsidRPr="00DE46B5">
        <w:rPr>
          <w:vertAlign w:val="superscript"/>
        </w:rPr>
        <w:fldChar w:fldCharType="end"/>
      </w:r>
      <w:r w:rsidR="007822D1" w:rsidRPr="00DE46B5">
        <w:rPr>
          <w:vertAlign w:val="superscript"/>
        </w:rPr>
      </w:r>
      <w:r w:rsidR="007822D1" w:rsidRPr="00DE46B5">
        <w:rPr>
          <w:vertAlign w:val="superscript"/>
        </w:rPr>
        <w:fldChar w:fldCharType="separate"/>
      </w:r>
      <w:r w:rsidR="00A12153" w:rsidRPr="00DE46B5">
        <w:rPr>
          <w:noProof/>
          <w:vertAlign w:val="superscript"/>
        </w:rPr>
        <w:t>(20-23)</w:t>
      </w:r>
      <w:r w:rsidR="007822D1" w:rsidRPr="00DE46B5">
        <w:rPr>
          <w:vertAlign w:val="superscript"/>
        </w:rPr>
        <w:fldChar w:fldCharType="end"/>
      </w:r>
      <w:r w:rsidR="007822D1" w:rsidRPr="00A12153">
        <w:t xml:space="preserve">. </w:t>
      </w:r>
      <w:r w:rsidR="00D0481A" w:rsidRPr="00D0481A">
        <w:t xml:space="preserve">Larger studies that employ </w:t>
      </w:r>
      <w:proofErr w:type="spellStart"/>
      <w:r w:rsidR="00D0481A" w:rsidRPr="00D0481A">
        <w:t>hs-cTn</w:t>
      </w:r>
      <w:proofErr w:type="spellEnd"/>
      <w:r w:rsidR="00D0481A" w:rsidRPr="00D0481A">
        <w:t xml:space="preserve"> to predict the long-term prognosis in patients with ESRD are necessary to elucidate this matter</w:t>
      </w:r>
      <w:r w:rsidR="007822D1" w:rsidRPr="00A12153">
        <w:t>.</w:t>
      </w:r>
      <w:r w:rsidRPr="00124BE9">
        <w:t xml:space="preserve"> In order to clarify this issue, it is imperative to conduct larger studies that utilize </w:t>
      </w:r>
      <w:proofErr w:type="spellStart"/>
      <w:r w:rsidRPr="00124BE9">
        <w:t>hs-cTn</w:t>
      </w:r>
      <w:proofErr w:type="spellEnd"/>
      <w:r w:rsidRPr="00124BE9">
        <w:t xml:space="preserve"> to predict the long-term prognosis in patients with ESRD.</w:t>
      </w:r>
    </w:p>
    <w:p w14:paraId="17822478" w14:textId="6CC71228" w:rsidR="007822D1" w:rsidRPr="00A12153" w:rsidRDefault="007822D1" w:rsidP="007822D1">
      <w:pPr>
        <w:pStyle w:val="P"/>
      </w:pPr>
      <w:bookmarkStart w:id="9" w:name="_Hlk204003006"/>
      <w:r w:rsidRPr="00A12153">
        <w:t>When stratified by Post HB/</w:t>
      </w:r>
      <w:proofErr w:type="spellStart"/>
      <w:r w:rsidRPr="00A12153">
        <w:t>PreHB</w:t>
      </w:r>
      <w:proofErr w:type="spellEnd"/>
      <w:r w:rsidRPr="00A12153">
        <w:t xml:space="preserve"> ratio categories, our echocardiographic findings further support and explain the U-shaped relationship between Post HB/</w:t>
      </w:r>
      <w:proofErr w:type="spellStart"/>
      <w:r w:rsidRPr="00A12153">
        <w:t>PreHB</w:t>
      </w:r>
      <w:proofErr w:type="spellEnd"/>
      <w:r w:rsidRPr="00A12153">
        <w:t xml:space="preserve"> ratio and adverse cardiac outcomes. Patients with extreme Post HB/</w:t>
      </w:r>
      <w:proofErr w:type="spellStart"/>
      <w:r w:rsidRPr="00A12153">
        <w:t>PreHB</w:t>
      </w:r>
      <w:proofErr w:type="spellEnd"/>
      <w:r w:rsidRPr="00A12153">
        <w:t xml:space="preserve"> ratio values (Group 1: Post HB/</w:t>
      </w:r>
      <w:proofErr w:type="spellStart"/>
      <w:r w:rsidRPr="00A12153">
        <w:t>PreHB</w:t>
      </w:r>
      <w:proofErr w:type="spellEnd"/>
      <w:r w:rsidRPr="00A12153">
        <w:t xml:space="preserve"> ratio &lt;1 and Group 4: Post HB/</w:t>
      </w:r>
      <w:proofErr w:type="spellStart"/>
      <w:r w:rsidRPr="00A12153">
        <w:t>PreHB</w:t>
      </w:r>
      <w:proofErr w:type="spellEnd"/>
      <w:r w:rsidRPr="00A12153">
        <w:t xml:space="preserve"> ratio ≥1.2) showed greater deterioration in cardiac structure and function over time. Group 1 had the lowest EF values at all time points and showed the most significant reduction in EF over the follow-up period. Group 4, despite starting with relatively preserved EF, also showed significant deterioration over time. This suggests that both insufficient increase in hemoglobin concentration (potentially indicating volume overload) and excessive increase (potentially indicating excessive ultrafiltration) during dialysis are associated with adverse cardiac remodeling.</w:t>
      </w:r>
      <w:bookmarkEnd w:id="9"/>
    </w:p>
    <w:p w14:paraId="2610E0B5" w14:textId="77777777" w:rsidR="007822D1" w:rsidRPr="00A12153" w:rsidRDefault="007822D1" w:rsidP="007822D1">
      <w:pPr>
        <w:pStyle w:val="P"/>
      </w:pPr>
      <w:r w:rsidRPr="00A12153">
        <w:t xml:space="preserve">A study assessed the variability of </w:t>
      </w:r>
      <w:proofErr w:type="spellStart"/>
      <w:r w:rsidRPr="00A12153">
        <w:t>hs-cTnI</w:t>
      </w:r>
      <w:proofErr w:type="spellEnd"/>
      <w:r w:rsidRPr="00A12153">
        <w:t xml:space="preserve"> levels before and after hemodialysis sessions. </w:t>
      </w:r>
    </w:p>
    <w:p w14:paraId="6C277639" w14:textId="0C70D1C5" w:rsidR="007822D1" w:rsidRDefault="007822D1" w:rsidP="007822D1">
      <w:pPr>
        <w:pStyle w:val="P"/>
      </w:pPr>
      <w:r w:rsidRPr="00A12153">
        <w:t xml:space="preserve">The results showed that </w:t>
      </w:r>
      <w:proofErr w:type="spellStart"/>
      <w:r w:rsidRPr="00A12153">
        <w:t>hs-cTnI</w:t>
      </w:r>
      <w:proofErr w:type="spellEnd"/>
      <w:r w:rsidRPr="00A12153">
        <w:t xml:space="preserve"> levels did not significantly change post-hemodialysis, suggesting a stable release pattern of this biomarker in the studied population. </w:t>
      </w:r>
      <w:r w:rsidR="000A441D" w:rsidRPr="000A441D">
        <w:t xml:space="preserve">This discovery may have implications for the timing and interpretation of </w:t>
      </w:r>
      <w:proofErr w:type="spellStart"/>
      <w:r w:rsidR="000A441D" w:rsidRPr="000A441D">
        <w:t>hs-cTnI</w:t>
      </w:r>
      <w:proofErr w:type="spellEnd"/>
      <w:r w:rsidR="000A441D" w:rsidRPr="000A441D">
        <w:t xml:space="preserve"> measurements in clinical practice</w:t>
      </w:r>
      <w:r w:rsidRPr="00A12153">
        <w:t xml:space="preserve"> </w:t>
      </w:r>
      <w:r w:rsidRPr="00DE46B5">
        <w:rPr>
          <w:vertAlign w:val="superscript"/>
        </w:rPr>
        <w:fldChar w:fldCharType="begin"/>
      </w:r>
      <w:r w:rsidR="007C3A5C" w:rsidRPr="00DE46B5">
        <w:rPr>
          <w:vertAlign w:val="superscript"/>
        </w:rPr>
        <w:instrText xml:space="preserve"> ADDIN EN.CITE &lt;EndNote&gt;&lt;Cite&gt;&lt;Author&gt;Wongcharoen&lt;/Author&gt;&lt;Year&gt;2021&lt;/Year&gt;&lt;RecNum&gt;24&lt;/RecNum&gt;&lt;DisplayText&gt;(24)&lt;/DisplayText&gt;&lt;record&gt;&lt;rec-number&gt;24&lt;/rec-number&gt;&lt;foreign-keys&gt;&lt;key app="EN" db-id="xzrd9vwasasfetevdw650faezp0zp0wddw95" timestamp="1753101994"&gt;24&lt;/key&gt;&lt;/foreign-keys&gt;&lt;ref-type name="Journal Article"&gt;17&lt;/ref-type&gt;&lt;contributors&gt;&lt;authors&gt;&lt;author&gt;Wongcharoen, Wanwarang&lt;/author&gt;&lt;author&gt;Chombandit, Teetad&lt;/author&gt;&lt;author&gt;Phrommintikul, Arintaya&lt;/author&gt;&lt;author&gt;Noppakun, Kajohnsak&lt;/author&gt;&lt;/authors&gt;&lt;/contributors&gt;&lt;titles&gt;&lt;title&gt;Variability of high-sensitivity cardiac troponin T and I in asymptomatic patients receiving hemodialysis&lt;/title&gt;&lt;secondary-title&gt;Sci Rep&lt;/secondary-title&gt;&lt;/titles&gt;&lt;periodical&gt;&lt;full-title&gt;Sci Rep&lt;/full-title&gt;&lt;/periodical&gt;&lt;pages&gt;17-34&lt;/pages&gt;&lt;volume&gt;11&lt;/volume&gt;&lt;number&gt;1&lt;/number&gt;&lt;dates&gt;&lt;year&gt;2021&lt;/year&gt;&lt;/dates&gt;&lt;isbn&gt;2045-2322&lt;/isbn&gt;&lt;urls&gt;&lt;/urls&gt;&lt;/record&gt;&lt;/Cite&gt;&lt;/EndNote&gt;</w:instrText>
      </w:r>
      <w:r w:rsidRPr="00DE46B5">
        <w:rPr>
          <w:vertAlign w:val="superscript"/>
        </w:rPr>
        <w:fldChar w:fldCharType="separate"/>
      </w:r>
      <w:r w:rsidR="00A12153" w:rsidRPr="00DE46B5">
        <w:rPr>
          <w:noProof/>
          <w:vertAlign w:val="superscript"/>
        </w:rPr>
        <w:t>(24)</w:t>
      </w:r>
      <w:r w:rsidRPr="00DE46B5">
        <w:rPr>
          <w:vertAlign w:val="superscript"/>
        </w:rPr>
        <w:fldChar w:fldCharType="end"/>
      </w:r>
      <w:r w:rsidRPr="00A12153">
        <w:t>.</w:t>
      </w:r>
    </w:p>
    <w:p w14:paraId="5F2C170E" w14:textId="3DD83C33" w:rsidR="00406480" w:rsidRPr="00A12153" w:rsidRDefault="00DD672D" w:rsidP="007822D1">
      <w:pPr>
        <w:pStyle w:val="P"/>
      </w:pPr>
      <w:r w:rsidRPr="007318EA">
        <w:t>The l</w:t>
      </w:r>
      <w:r w:rsidR="00406480" w:rsidRPr="007318EA">
        <w:t>imitations of the study</w:t>
      </w:r>
      <w:r w:rsidRPr="007318EA">
        <w:t xml:space="preserve"> were relatively small sample size and it was a single center study.</w:t>
      </w:r>
    </w:p>
    <w:p w14:paraId="2CB117C2" w14:textId="76BDD87F" w:rsidR="00DF534F" w:rsidRPr="00A12153" w:rsidRDefault="009402F1" w:rsidP="00ED1E3C">
      <w:pPr>
        <w:spacing w:before="240" w:after="0" w:line="240" w:lineRule="auto"/>
        <w:rPr>
          <w:rFonts w:asciiTheme="majorBidi" w:hAnsiTheme="majorBidi" w:cstheme="majorBidi"/>
          <w:b/>
          <w:bCs/>
          <w:sz w:val="24"/>
          <w:szCs w:val="24"/>
          <w:u w:val="single"/>
        </w:rPr>
      </w:pPr>
      <w:r w:rsidRPr="00A12153">
        <w:rPr>
          <w:rFonts w:asciiTheme="majorBidi" w:hAnsiTheme="majorBidi" w:cstheme="majorBidi"/>
          <w:b/>
          <w:bCs/>
          <w:sz w:val="24"/>
          <w:szCs w:val="24"/>
          <w:u w:val="single"/>
        </w:rPr>
        <w:t>Conclusion</w:t>
      </w:r>
    </w:p>
    <w:p w14:paraId="5ECEC2A1" w14:textId="74102067" w:rsidR="00C933B2" w:rsidRPr="00A12153" w:rsidRDefault="00C933B2" w:rsidP="00C933B2">
      <w:pPr>
        <w:spacing w:before="120"/>
        <w:jc w:val="both"/>
        <w:rPr>
          <w:rFonts w:asciiTheme="majorBidi" w:hAnsiTheme="majorBidi" w:cstheme="majorBidi"/>
          <w:sz w:val="24"/>
          <w:szCs w:val="24"/>
        </w:rPr>
      </w:pPr>
      <w:bookmarkStart w:id="10" w:name="_Hlk203990722"/>
      <w:r w:rsidRPr="00A12153">
        <w:rPr>
          <w:rFonts w:ascii="Times New Roman" w:eastAsia="Calibri" w:hAnsi="Times New Roman" w:cs="Times New Roman"/>
          <w:sz w:val="24"/>
          <w:szCs w:val="24"/>
        </w:rPr>
        <w:lastRenderedPageBreak/>
        <w:t xml:space="preserve">The asymptomatic raising of </w:t>
      </w:r>
      <w:proofErr w:type="spellStart"/>
      <w:r w:rsidRPr="00A12153">
        <w:rPr>
          <w:rFonts w:ascii="Times New Roman" w:eastAsia="Calibri" w:hAnsi="Times New Roman" w:cs="Times New Roman"/>
          <w:sz w:val="24"/>
          <w:szCs w:val="24"/>
        </w:rPr>
        <w:t>hscTni</w:t>
      </w:r>
      <w:proofErr w:type="spellEnd"/>
      <w:r w:rsidRPr="00A12153">
        <w:rPr>
          <w:rFonts w:ascii="Times New Roman" w:eastAsia="Calibri" w:hAnsi="Times New Roman" w:cs="Times New Roman"/>
          <w:sz w:val="24"/>
          <w:szCs w:val="24"/>
        </w:rPr>
        <w:t xml:space="preserve">, </w:t>
      </w:r>
      <w:proofErr w:type="spellStart"/>
      <w:r w:rsidRPr="00A12153">
        <w:rPr>
          <w:rFonts w:ascii="Times New Roman" w:eastAsia="Calibri" w:hAnsi="Times New Roman" w:cs="Times New Roman"/>
          <w:sz w:val="24"/>
          <w:szCs w:val="24"/>
        </w:rPr>
        <w:t>hscTnt</w:t>
      </w:r>
      <w:proofErr w:type="spellEnd"/>
      <w:r w:rsidRPr="00A12153">
        <w:rPr>
          <w:rFonts w:ascii="Times New Roman" w:eastAsia="Calibri" w:hAnsi="Times New Roman" w:cs="Times New Roman"/>
          <w:sz w:val="24"/>
          <w:szCs w:val="24"/>
        </w:rPr>
        <w:t xml:space="preserve"> and </w:t>
      </w:r>
      <w:proofErr w:type="spellStart"/>
      <w:r w:rsidRPr="00A12153">
        <w:rPr>
          <w:rFonts w:ascii="Times New Roman" w:eastAsia="Calibri" w:hAnsi="Times New Roman" w:cs="Times New Roman"/>
          <w:sz w:val="24"/>
          <w:szCs w:val="24"/>
        </w:rPr>
        <w:t>ckmb</w:t>
      </w:r>
      <w:proofErr w:type="spellEnd"/>
      <w:r w:rsidRPr="00A12153">
        <w:rPr>
          <w:rFonts w:ascii="Times New Roman" w:eastAsia="Calibri" w:hAnsi="Times New Roman" w:cs="Times New Roman"/>
          <w:sz w:val="24"/>
          <w:szCs w:val="24"/>
        </w:rPr>
        <w:t xml:space="preserve"> represent </w:t>
      </w:r>
      <w:proofErr w:type="spellStart"/>
      <w:r w:rsidRPr="00A12153">
        <w:rPr>
          <w:rFonts w:ascii="Times New Roman" w:eastAsia="Calibri" w:hAnsi="Times New Roman" w:cs="Times New Roman"/>
          <w:sz w:val="24"/>
          <w:szCs w:val="24"/>
        </w:rPr>
        <w:t>silient</w:t>
      </w:r>
      <w:proofErr w:type="spellEnd"/>
      <w:r w:rsidRPr="00A12153">
        <w:rPr>
          <w:rFonts w:ascii="Times New Roman" w:eastAsia="Calibri" w:hAnsi="Times New Roman" w:cs="Times New Roman"/>
          <w:sz w:val="24"/>
          <w:szCs w:val="24"/>
        </w:rPr>
        <w:t xml:space="preserve"> myocardial injury during hemodialysis. The intradialytic changes in </w:t>
      </w:r>
      <w:r w:rsidR="001D3A11" w:rsidRPr="00A12153">
        <w:rPr>
          <w:rFonts w:ascii="Times New Roman" w:eastAsia="Calibri" w:hAnsi="Times New Roman" w:cs="Times New Roman"/>
          <w:sz w:val="24"/>
          <w:szCs w:val="24"/>
        </w:rPr>
        <w:t>Hb</w:t>
      </w:r>
      <w:r w:rsidRPr="00A12153">
        <w:rPr>
          <w:rFonts w:ascii="Times New Roman" w:eastAsia="Calibri" w:hAnsi="Times New Roman" w:cs="Times New Roman"/>
          <w:sz w:val="24"/>
          <w:szCs w:val="24"/>
        </w:rPr>
        <w:t xml:space="preserve"> level post HB /</w:t>
      </w:r>
      <w:proofErr w:type="spellStart"/>
      <w:r w:rsidRPr="00A12153">
        <w:rPr>
          <w:rFonts w:ascii="Times New Roman" w:eastAsia="Calibri" w:hAnsi="Times New Roman" w:cs="Times New Roman"/>
          <w:sz w:val="24"/>
          <w:szCs w:val="24"/>
        </w:rPr>
        <w:t>preHB</w:t>
      </w:r>
      <w:proofErr w:type="spellEnd"/>
      <w:r w:rsidRPr="00A12153">
        <w:rPr>
          <w:rFonts w:ascii="Times New Roman" w:eastAsia="Calibri" w:hAnsi="Times New Roman" w:cs="Times New Roman"/>
          <w:sz w:val="24"/>
          <w:szCs w:val="24"/>
        </w:rPr>
        <w:t xml:space="preserve"> ratio </w:t>
      </w:r>
      <w:r w:rsidR="007C3A5C" w:rsidRPr="00A12153">
        <w:rPr>
          <w:rFonts w:ascii="Times New Roman" w:eastAsia="Calibri" w:hAnsi="Times New Roman" w:cs="Times New Roman"/>
          <w:sz w:val="24"/>
          <w:szCs w:val="24"/>
        </w:rPr>
        <w:t>were</w:t>
      </w:r>
      <w:r w:rsidRPr="00A12153">
        <w:rPr>
          <w:rFonts w:ascii="Times New Roman" w:eastAsia="Calibri" w:hAnsi="Times New Roman" w:cs="Times New Roman"/>
          <w:sz w:val="24"/>
          <w:szCs w:val="24"/>
        </w:rPr>
        <w:t xml:space="preserve"> associated with higher cardiac troponin level (</w:t>
      </w:r>
      <w:proofErr w:type="spellStart"/>
      <w:r w:rsidRPr="00A12153">
        <w:rPr>
          <w:rFonts w:ascii="Times New Roman" w:eastAsia="Calibri" w:hAnsi="Times New Roman" w:cs="Times New Roman"/>
          <w:sz w:val="24"/>
          <w:szCs w:val="24"/>
        </w:rPr>
        <w:t>hs</w:t>
      </w:r>
      <w:proofErr w:type="spellEnd"/>
      <w:r w:rsidRPr="00A12153">
        <w:rPr>
          <w:rFonts w:ascii="Times New Roman" w:eastAsia="Calibri" w:hAnsi="Times New Roman" w:cs="Times New Roman"/>
          <w:sz w:val="24"/>
          <w:szCs w:val="24"/>
        </w:rPr>
        <w:t xml:space="preserve"> </w:t>
      </w:r>
      <w:proofErr w:type="spellStart"/>
      <w:r w:rsidRPr="00A12153">
        <w:rPr>
          <w:rFonts w:ascii="Times New Roman" w:eastAsia="Calibri" w:hAnsi="Times New Roman" w:cs="Times New Roman"/>
          <w:sz w:val="24"/>
          <w:szCs w:val="24"/>
        </w:rPr>
        <w:t>Tni</w:t>
      </w:r>
      <w:proofErr w:type="spellEnd"/>
      <w:r w:rsidRPr="00A12153">
        <w:rPr>
          <w:rFonts w:ascii="Times New Roman" w:eastAsia="Calibri" w:hAnsi="Times New Roman" w:cs="Times New Roman"/>
          <w:sz w:val="24"/>
          <w:szCs w:val="24"/>
        </w:rPr>
        <w:t xml:space="preserve"> and </w:t>
      </w:r>
      <w:proofErr w:type="spellStart"/>
      <w:r w:rsidRPr="00A12153">
        <w:rPr>
          <w:rFonts w:ascii="Times New Roman" w:eastAsia="Calibri" w:hAnsi="Times New Roman" w:cs="Times New Roman"/>
          <w:sz w:val="24"/>
          <w:szCs w:val="24"/>
        </w:rPr>
        <w:t>hscTnt</w:t>
      </w:r>
      <w:proofErr w:type="spellEnd"/>
      <w:r w:rsidRPr="00A12153">
        <w:rPr>
          <w:rFonts w:ascii="Times New Roman" w:eastAsia="Calibri" w:hAnsi="Times New Roman" w:cs="Times New Roman"/>
          <w:sz w:val="24"/>
          <w:szCs w:val="24"/>
        </w:rPr>
        <w:t xml:space="preserve">) and </w:t>
      </w:r>
      <w:proofErr w:type="spellStart"/>
      <w:r w:rsidRPr="00A12153">
        <w:rPr>
          <w:rFonts w:ascii="Times New Roman" w:eastAsia="Calibri" w:hAnsi="Times New Roman" w:cs="Times New Roman"/>
          <w:sz w:val="24"/>
          <w:szCs w:val="24"/>
        </w:rPr>
        <w:t>ckmb</w:t>
      </w:r>
      <w:proofErr w:type="spellEnd"/>
      <w:r w:rsidRPr="00A12153">
        <w:rPr>
          <w:rFonts w:ascii="Times New Roman" w:eastAsia="Calibri" w:hAnsi="Times New Roman" w:cs="Times New Roman"/>
          <w:sz w:val="24"/>
          <w:szCs w:val="24"/>
        </w:rPr>
        <w:t xml:space="preserve">. </w:t>
      </w:r>
      <w:r w:rsidRPr="00A12153">
        <w:rPr>
          <w:rFonts w:asciiTheme="majorBidi" w:hAnsiTheme="majorBidi" w:cstheme="majorBidi"/>
          <w:sz w:val="24"/>
          <w:szCs w:val="24"/>
        </w:rPr>
        <w:t xml:space="preserve">There is an association between the intradialytic changes in </w:t>
      </w:r>
      <w:proofErr w:type="spellStart"/>
      <w:r w:rsidRPr="00A12153">
        <w:rPr>
          <w:rFonts w:asciiTheme="majorBidi" w:hAnsiTheme="majorBidi" w:cstheme="majorBidi"/>
          <w:sz w:val="24"/>
          <w:szCs w:val="24"/>
        </w:rPr>
        <w:t>hemoglibin</w:t>
      </w:r>
      <w:proofErr w:type="spellEnd"/>
      <w:r w:rsidRPr="00A12153">
        <w:rPr>
          <w:rFonts w:asciiTheme="majorBidi" w:hAnsiTheme="majorBidi" w:cstheme="majorBidi"/>
          <w:sz w:val="24"/>
          <w:szCs w:val="24"/>
        </w:rPr>
        <w:t xml:space="preserve"> level with asymptomatic myocardial injury.</w:t>
      </w:r>
    </w:p>
    <w:bookmarkEnd w:id="10"/>
    <w:p w14:paraId="15D6D081" w14:textId="76F7F018" w:rsidR="00C933B2" w:rsidRPr="00C933B2" w:rsidRDefault="00C933B2" w:rsidP="00C933B2">
      <w:pPr>
        <w:spacing w:before="120"/>
        <w:jc w:val="both"/>
        <w:rPr>
          <w:rFonts w:asciiTheme="majorBidi" w:hAnsiTheme="majorBidi" w:cstheme="majorBidi"/>
          <w:sz w:val="24"/>
          <w:szCs w:val="24"/>
        </w:rPr>
      </w:pPr>
      <w:r w:rsidRPr="00A12153">
        <w:rPr>
          <w:rFonts w:asciiTheme="majorBidi" w:hAnsiTheme="majorBidi" w:cstheme="majorBidi"/>
          <w:sz w:val="24"/>
          <w:szCs w:val="24"/>
        </w:rPr>
        <w:t>Therefore, the study recommended that it is post-to-pre</w:t>
      </w:r>
      <w:r w:rsidRPr="00C933B2">
        <w:rPr>
          <w:rFonts w:asciiTheme="majorBidi" w:hAnsiTheme="majorBidi" w:cstheme="majorBidi"/>
          <w:sz w:val="24"/>
          <w:szCs w:val="24"/>
        </w:rPr>
        <w:t xml:space="preserve">-dialysis </w:t>
      </w:r>
      <w:r w:rsidR="001D3A11">
        <w:rPr>
          <w:rFonts w:asciiTheme="majorBidi" w:hAnsiTheme="majorBidi" w:cstheme="majorBidi"/>
          <w:sz w:val="24"/>
          <w:szCs w:val="24"/>
        </w:rPr>
        <w:t>Hb</w:t>
      </w:r>
      <w:r w:rsidRPr="00C933B2">
        <w:rPr>
          <w:rFonts w:asciiTheme="majorBidi" w:hAnsiTheme="majorBidi" w:cstheme="majorBidi"/>
          <w:sz w:val="24"/>
          <w:szCs w:val="24"/>
        </w:rPr>
        <w:t xml:space="preserve"> ratios as part of routine clinical care to identify patients at increased cardiovascular risk and using </w:t>
      </w:r>
      <w:proofErr w:type="spellStart"/>
      <w:r w:rsidRPr="00C933B2">
        <w:rPr>
          <w:rFonts w:asciiTheme="majorBidi" w:hAnsiTheme="majorBidi" w:cstheme="majorBidi"/>
          <w:sz w:val="24"/>
          <w:szCs w:val="24"/>
        </w:rPr>
        <w:t>hs-cTnI</w:t>
      </w:r>
      <w:proofErr w:type="spellEnd"/>
      <w:r w:rsidRPr="00C933B2">
        <w:rPr>
          <w:rFonts w:asciiTheme="majorBidi" w:hAnsiTheme="majorBidi" w:cstheme="majorBidi"/>
          <w:sz w:val="24"/>
          <w:szCs w:val="24"/>
        </w:rPr>
        <w:t xml:space="preserve"> rather than </w:t>
      </w:r>
      <w:proofErr w:type="spellStart"/>
      <w:r w:rsidRPr="00C933B2">
        <w:rPr>
          <w:rFonts w:asciiTheme="majorBidi" w:hAnsiTheme="majorBidi" w:cstheme="majorBidi"/>
          <w:sz w:val="24"/>
          <w:szCs w:val="24"/>
        </w:rPr>
        <w:t>hs-cTnT</w:t>
      </w:r>
      <w:proofErr w:type="spellEnd"/>
      <w:r w:rsidRPr="00C933B2">
        <w:rPr>
          <w:rFonts w:asciiTheme="majorBidi" w:hAnsiTheme="majorBidi" w:cstheme="majorBidi"/>
          <w:sz w:val="24"/>
          <w:szCs w:val="24"/>
        </w:rPr>
        <w:t xml:space="preserve"> when evaluating suspected acute cardiac events in hemodialysis patients due to its greater specificity.</w:t>
      </w:r>
    </w:p>
    <w:p w14:paraId="2EBB331C" w14:textId="3B0B1AAC" w:rsidR="00804E8D" w:rsidRPr="00C933B2" w:rsidRDefault="00804E8D" w:rsidP="00ED1E3C">
      <w:pPr>
        <w:spacing w:before="240" w:after="0" w:line="240" w:lineRule="auto"/>
        <w:jc w:val="lowKashida"/>
        <w:rPr>
          <w:rFonts w:asciiTheme="majorBidi" w:hAnsiTheme="majorBidi" w:cstheme="majorBidi"/>
          <w:b/>
          <w:sz w:val="24"/>
          <w:szCs w:val="24"/>
        </w:rPr>
      </w:pPr>
      <w:r w:rsidRPr="00C933B2">
        <w:rPr>
          <w:rFonts w:asciiTheme="majorBidi" w:hAnsiTheme="majorBidi" w:cstheme="majorBidi"/>
          <w:b/>
          <w:sz w:val="24"/>
          <w:szCs w:val="24"/>
          <w:u w:val="single"/>
        </w:rPr>
        <w:t>Sources of funding</w:t>
      </w:r>
    </w:p>
    <w:p w14:paraId="5EA48A8B" w14:textId="77777777" w:rsidR="00804E8D" w:rsidRPr="00C933B2" w:rsidRDefault="00804E8D" w:rsidP="00ED1E3C">
      <w:pPr>
        <w:spacing w:before="240" w:after="0" w:line="240" w:lineRule="auto"/>
        <w:jc w:val="lowKashida"/>
        <w:rPr>
          <w:rFonts w:asciiTheme="majorBidi" w:hAnsiTheme="majorBidi" w:cstheme="majorBidi"/>
          <w:sz w:val="24"/>
          <w:szCs w:val="24"/>
        </w:rPr>
      </w:pPr>
      <w:r w:rsidRPr="00C933B2">
        <w:rPr>
          <w:rFonts w:asciiTheme="majorBidi" w:hAnsiTheme="majorBidi" w:cstheme="majorBidi"/>
          <w:sz w:val="24"/>
          <w:szCs w:val="24"/>
        </w:rPr>
        <w:t>This research did not receive any specific grant from funding agencies in the public, commercial, or not-for-profit sectors.</w:t>
      </w:r>
    </w:p>
    <w:p w14:paraId="1D080BC0" w14:textId="77777777" w:rsidR="00804E8D" w:rsidRPr="00C933B2" w:rsidRDefault="00804E8D" w:rsidP="00ED1E3C">
      <w:pPr>
        <w:spacing w:before="240" w:after="0" w:line="240" w:lineRule="auto"/>
        <w:jc w:val="lowKashida"/>
        <w:rPr>
          <w:rFonts w:asciiTheme="majorBidi" w:hAnsiTheme="majorBidi" w:cstheme="majorBidi"/>
          <w:b/>
          <w:sz w:val="24"/>
          <w:szCs w:val="24"/>
        </w:rPr>
      </w:pPr>
      <w:r w:rsidRPr="00C933B2">
        <w:rPr>
          <w:rFonts w:asciiTheme="majorBidi" w:hAnsiTheme="majorBidi" w:cstheme="majorBidi"/>
          <w:b/>
          <w:sz w:val="24"/>
          <w:szCs w:val="24"/>
          <w:u w:val="single"/>
        </w:rPr>
        <w:t>Conflicts of interest</w:t>
      </w:r>
    </w:p>
    <w:p w14:paraId="58B77873" w14:textId="77777777" w:rsidR="00804E8D" w:rsidRPr="00C933B2" w:rsidRDefault="00804E8D" w:rsidP="00ED1E3C">
      <w:pPr>
        <w:spacing w:before="240" w:after="0" w:line="240" w:lineRule="auto"/>
        <w:jc w:val="lowKashida"/>
        <w:rPr>
          <w:rFonts w:asciiTheme="majorBidi" w:hAnsiTheme="majorBidi" w:cstheme="majorBidi"/>
          <w:sz w:val="24"/>
          <w:szCs w:val="24"/>
        </w:rPr>
      </w:pPr>
      <w:r w:rsidRPr="00C933B2">
        <w:rPr>
          <w:rFonts w:asciiTheme="majorBidi" w:hAnsiTheme="majorBidi" w:cstheme="majorBidi"/>
          <w:sz w:val="24"/>
          <w:szCs w:val="24"/>
        </w:rPr>
        <w:t>No conflicts of interest</w:t>
      </w:r>
    </w:p>
    <w:p w14:paraId="1194BA5B" w14:textId="77777777" w:rsidR="009402F1" w:rsidRPr="008A6667" w:rsidRDefault="009402F1" w:rsidP="004A5871">
      <w:pPr>
        <w:spacing w:before="240" w:line="240" w:lineRule="auto"/>
        <w:rPr>
          <w:rFonts w:asciiTheme="majorBidi" w:hAnsiTheme="majorBidi" w:cstheme="majorBidi"/>
          <w:b/>
          <w:bCs/>
          <w:sz w:val="24"/>
          <w:szCs w:val="24"/>
          <w:u w:val="single"/>
        </w:rPr>
      </w:pPr>
      <w:r w:rsidRPr="008A6667">
        <w:rPr>
          <w:rFonts w:asciiTheme="majorBidi" w:hAnsiTheme="majorBidi" w:cstheme="majorBidi"/>
          <w:b/>
          <w:bCs/>
          <w:sz w:val="24"/>
          <w:szCs w:val="24"/>
          <w:u w:val="single"/>
        </w:rPr>
        <w:t xml:space="preserve">References </w:t>
      </w:r>
    </w:p>
    <w:p w14:paraId="5118E4B4" w14:textId="43EB028E" w:rsidR="007C3A5C" w:rsidRPr="007C3A5C" w:rsidRDefault="000245C3" w:rsidP="007C3A5C">
      <w:pPr>
        <w:pStyle w:val="EndNoteBibliography"/>
        <w:spacing w:after="0"/>
        <w:jc w:val="both"/>
      </w:pPr>
      <w:r w:rsidRPr="008A6667">
        <w:rPr>
          <w:szCs w:val="24"/>
        </w:rPr>
        <w:fldChar w:fldCharType="begin"/>
      </w:r>
      <w:r w:rsidRPr="008A6667">
        <w:rPr>
          <w:szCs w:val="24"/>
        </w:rPr>
        <w:instrText xml:space="preserve"> ADDIN EN.REFLIST </w:instrText>
      </w:r>
      <w:r w:rsidRPr="008A6667">
        <w:rPr>
          <w:szCs w:val="24"/>
        </w:rPr>
        <w:fldChar w:fldCharType="separate"/>
      </w:r>
      <w:r w:rsidR="007C3A5C" w:rsidRPr="007C3A5C">
        <w:t>1. Hara T, Kimachi M, Ikenoue T, Akizawa T, Fukuhara S, Yamamoto Y. Intra-Dialytic Hemoglobin Changes and Cardiovascular Events: A Cohort Study on Dialysis Outcomes and Practice Patterns in Japan. Am J Nephrol. 2019;50:272-80.</w:t>
      </w:r>
    </w:p>
    <w:p w14:paraId="03DF1573" w14:textId="77777777" w:rsidR="007C3A5C" w:rsidRPr="0076047B" w:rsidRDefault="007C3A5C" w:rsidP="007C3A5C">
      <w:pPr>
        <w:pStyle w:val="EndNoteBibliography"/>
        <w:spacing w:after="0"/>
        <w:jc w:val="both"/>
        <w:rPr>
          <w:lang w:val="nl-NL"/>
        </w:rPr>
      </w:pPr>
      <w:r w:rsidRPr="007C3A5C">
        <w:t xml:space="preserve">2. Assimon MM, Wang L, Flythe JE. Intradialytic hypertension frequency and short-term clinical outcomes among individuals receiving maintenance hemodialysis. </w:t>
      </w:r>
      <w:r w:rsidRPr="0076047B">
        <w:rPr>
          <w:lang w:val="nl-NL"/>
        </w:rPr>
        <w:t>Am J Hypertens. 2018;31:329-39.</w:t>
      </w:r>
    </w:p>
    <w:p w14:paraId="3964D51B" w14:textId="77777777" w:rsidR="007C3A5C" w:rsidRPr="007C3A5C" w:rsidRDefault="007C3A5C" w:rsidP="007C3A5C">
      <w:pPr>
        <w:pStyle w:val="EndNoteBibliography"/>
        <w:spacing w:after="0"/>
        <w:jc w:val="both"/>
      </w:pPr>
      <w:r w:rsidRPr="0076047B">
        <w:rPr>
          <w:lang w:val="nl-NL"/>
        </w:rPr>
        <w:t xml:space="preserve">3. Weiner DE, Brunelli SM, Hunt A, Schiller B, Glassock R, Maddux FW, et al. </w:t>
      </w:r>
      <w:r w:rsidRPr="007C3A5C">
        <w:t>Improving clinical outcomes among hemodialysis patients: a proposal for a “volume first” approach from the chief medical officers of US dialysis providers. Am J Kidney Dis. 2014;64:685-95.</w:t>
      </w:r>
    </w:p>
    <w:p w14:paraId="34B62F2D" w14:textId="77777777" w:rsidR="007C3A5C" w:rsidRPr="007C3A5C" w:rsidRDefault="007C3A5C" w:rsidP="007C3A5C">
      <w:pPr>
        <w:pStyle w:val="EndNoteBibliography"/>
        <w:spacing w:after="0"/>
        <w:jc w:val="both"/>
      </w:pPr>
      <w:r w:rsidRPr="007C3A5C">
        <w:t>4. MacEwen C, Sutherland S, Daly J, Pugh C, Tarassenko L. Relationship between hypotension and cerebral ischemia during hemodialysis. J Am Soc Nephrol 2017;28:2511-20.</w:t>
      </w:r>
    </w:p>
    <w:p w14:paraId="78111C57" w14:textId="77777777" w:rsidR="007C3A5C" w:rsidRPr="007C3A5C" w:rsidRDefault="007C3A5C" w:rsidP="007C3A5C">
      <w:pPr>
        <w:pStyle w:val="EndNoteBibliography"/>
        <w:spacing w:after="0"/>
        <w:jc w:val="both"/>
      </w:pPr>
      <w:r w:rsidRPr="007C3A5C">
        <w:t>5. Yamamoto H, Nishi S, Tomo T, Masakane I, Saito K, Nangaku M, et al. 2015 Japanese Society for Dialysis Therapy: Guidelines for Renal Anemia in Chronic Kidney Disease. Ren Replace Ther. 2017;3:36-44.</w:t>
      </w:r>
    </w:p>
    <w:p w14:paraId="1C629454" w14:textId="77777777" w:rsidR="007C3A5C" w:rsidRPr="007C3A5C" w:rsidRDefault="007C3A5C" w:rsidP="007C3A5C">
      <w:pPr>
        <w:pStyle w:val="EndNoteBibliography"/>
        <w:spacing w:after="0"/>
        <w:jc w:val="both"/>
      </w:pPr>
      <w:r w:rsidRPr="007C3A5C">
        <w:t>6. Nishiwaki H, Fukuma S, Hasegawa T, Kimachi M, Akizawa T, Fukuhara S. Dialysis‐related practice patterns among hemodialysis patients with cancer. Health Sci Rep. 2018;1:46-52.</w:t>
      </w:r>
    </w:p>
    <w:p w14:paraId="4133643B" w14:textId="77777777" w:rsidR="007C3A5C" w:rsidRPr="007C3A5C" w:rsidRDefault="007C3A5C" w:rsidP="007C3A5C">
      <w:pPr>
        <w:pStyle w:val="EndNoteBibliography"/>
        <w:spacing w:after="0"/>
        <w:jc w:val="both"/>
      </w:pPr>
      <w:r w:rsidRPr="007C3A5C">
        <w:t>7. Pan F, Yang L, Li Y, Liang B, Li L, Ye T, et al. Factors associated with death outcome in patients with severe coronavirus disease-19 (COVID-19): a case-control study. Int J Med Sci. 2020;17:1281-92.</w:t>
      </w:r>
    </w:p>
    <w:p w14:paraId="09C8228B" w14:textId="77777777" w:rsidR="007C3A5C" w:rsidRPr="007C3A5C" w:rsidRDefault="007C3A5C" w:rsidP="007C3A5C">
      <w:pPr>
        <w:pStyle w:val="EndNoteBibliography"/>
        <w:spacing w:after="0"/>
        <w:jc w:val="both"/>
      </w:pPr>
      <w:r w:rsidRPr="007C3A5C">
        <w:t>8. Leitman M, Lysyansky P, Sidenko S, Shir V, Peleg E, Binenbaum M, et al. Two-dimensional strain–a novel software for real-time quantitative echocardiographic assessment of myocardial function. J Am Soc Echocardiogr 2004;17:1021-9.</w:t>
      </w:r>
    </w:p>
    <w:p w14:paraId="776802CA" w14:textId="77777777" w:rsidR="007C3A5C" w:rsidRPr="007C3A5C" w:rsidRDefault="007C3A5C" w:rsidP="007C3A5C">
      <w:pPr>
        <w:pStyle w:val="EndNoteBibliography"/>
        <w:spacing w:after="0"/>
        <w:jc w:val="both"/>
      </w:pPr>
      <w:r w:rsidRPr="007C3A5C">
        <w:lastRenderedPageBreak/>
        <w:t>9. Krane V, Heinrich F, Meesmann M, Olschewski M, Angermann C, Sto S, et al. Electrocardiography and outcome in patients with diabetes mellitus on maintenance hemodialysis. J Am Soc Nephrol 2009;4:394-9.</w:t>
      </w:r>
    </w:p>
    <w:p w14:paraId="6C7C8369" w14:textId="77777777" w:rsidR="007C3A5C" w:rsidRPr="007C3A5C" w:rsidRDefault="007C3A5C" w:rsidP="007C3A5C">
      <w:pPr>
        <w:pStyle w:val="EndNoteBibliography"/>
        <w:spacing w:after="0"/>
        <w:jc w:val="both"/>
      </w:pPr>
      <w:r w:rsidRPr="007C3A5C">
        <w:t>10. Bello AK, Okpechi IG, Osman MA, Cho Y, Htay H, Jha V, et al. Epidemiology of haemodialysis outcomes. Nat Rev Nephrol. 2022;18:378-95.</w:t>
      </w:r>
    </w:p>
    <w:p w14:paraId="75BBAEA2" w14:textId="77777777" w:rsidR="007C3A5C" w:rsidRPr="007C3A5C" w:rsidRDefault="007C3A5C" w:rsidP="007C3A5C">
      <w:pPr>
        <w:pStyle w:val="EndNoteBibliography"/>
        <w:spacing w:after="0"/>
        <w:jc w:val="both"/>
      </w:pPr>
      <w:r w:rsidRPr="007C3A5C">
        <w:t>11. Coronado Daza JA, Cuchi GU. Gender Differences in Dose of Erythropoietin to Maintain Hemoglobin Target in Hemodialysis Patients. Indian J Nephrol. 2019;29:160-5.</w:t>
      </w:r>
    </w:p>
    <w:p w14:paraId="5BEFF914" w14:textId="77777777" w:rsidR="007C3A5C" w:rsidRPr="007C3A5C" w:rsidRDefault="007C3A5C" w:rsidP="007C3A5C">
      <w:pPr>
        <w:pStyle w:val="EndNoteBibliography"/>
        <w:spacing w:after="0"/>
        <w:jc w:val="both"/>
      </w:pPr>
      <w:r w:rsidRPr="007C3A5C">
        <w:t>12. Hoppe K, Schwermer K, Kawka A, Klysz P, Baum E, Kaluzna M, et al. Dialysis vintage stratified comparison of body composition, hydration and nutritional state in peritoneal dialysis and hemodialysis patients. Arch Med Sci. 2018;14:807-17.</w:t>
      </w:r>
    </w:p>
    <w:p w14:paraId="29E3127E" w14:textId="77777777" w:rsidR="007C3A5C" w:rsidRPr="007C3A5C" w:rsidRDefault="007C3A5C" w:rsidP="007C3A5C">
      <w:pPr>
        <w:pStyle w:val="EndNoteBibliography"/>
        <w:spacing w:after="0"/>
        <w:jc w:val="both"/>
      </w:pPr>
      <w:r w:rsidRPr="007C3A5C">
        <w:t>13. Nishiwaki H, Hasegawa T, Koiwa F, Hamano T, Masakane I. The association of the difference in hemoglobin levels before and after hemodialysis with the risk of 1-year mortality in patients undergoing hemodialysis. Results from a nationwide cohort study of the Japanese Renal Data Registry. PLoS One. 2019;14:21-53.</w:t>
      </w:r>
    </w:p>
    <w:p w14:paraId="00E16404" w14:textId="77777777" w:rsidR="007C3A5C" w:rsidRPr="007C3A5C" w:rsidRDefault="007C3A5C" w:rsidP="007C3A5C">
      <w:pPr>
        <w:pStyle w:val="EndNoteBibliography"/>
        <w:spacing w:after="0"/>
        <w:jc w:val="both"/>
      </w:pPr>
      <w:r w:rsidRPr="007C3A5C">
        <w:t>14. Stuard S, Ridel C, Cioffi M, Trost-Rupnik A, Gurevich K, Bojic M, et al. Hemodialysis Procedures for Stable Incident and Prevalent Patients Optimize Hemodynamic Stability, Dialysis Dose, Electrolytes, and Fluid Balance. J Clin Med. 2024;13:32-41.</w:t>
      </w:r>
    </w:p>
    <w:p w14:paraId="09227988" w14:textId="77777777" w:rsidR="007C3A5C" w:rsidRPr="007C3A5C" w:rsidRDefault="007C3A5C" w:rsidP="007C3A5C">
      <w:pPr>
        <w:pStyle w:val="EndNoteBibliography"/>
        <w:spacing w:after="0"/>
        <w:jc w:val="both"/>
      </w:pPr>
      <w:r w:rsidRPr="007C3A5C">
        <w:t xml:space="preserve">15. </w:t>
      </w:r>
      <w:bookmarkStart w:id="11" w:name="_Hlk206432808"/>
      <w:r w:rsidRPr="007C3A5C">
        <w:t>Pstras</w:t>
      </w:r>
      <w:bookmarkEnd w:id="11"/>
      <w:r w:rsidRPr="007C3A5C">
        <w:t xml:space="preserve"> L, Debowska M, Wojcik-Zaluska A, Zaluska W, Waniewski J. Hemodialysis-induced changes in hematocrit, hemoglobin and total protein: Implications for relative blood volume monitoring. PLoS One. 2019;14:22-76.</w:t>
      </w:r>
    </w:p>
    <w:p w14:paraId="7C796B9E" w14:textId="77777777" w:rsidR="007C3A5C" w:rsidRPr="007C3A5C" w:rsidRDefault="007C3A5C" w:rsidP="007C3A5C">
      <w:pPr>
        <w:pStyle w:val="EndNoteBibliography"/>
        <w:spacing w:after="0"/>
        <w:jc w:val="both"/>
      </w:pPr>
      <w:r w:rsidRPr="007C3A5C">
        <w:t>16. Ku C-C, Chiu W-Y, Wu S-W, Chang H-R, Lian J-D. The Association between Post-Dialysis Hematocrit Levels and Ultrafiltration Volume in Maintenance Hemodialysis Patients. Acta Nephrologica. 2011;25:182-5.</w:t>
      </w:r>
    </w:p>
    <w:p w14:paraId="605CEA17" w14:textId="77777777" w:rsidR="007C3A5C" w:rsidRPr="007C3A5C" w:rsidRDefault="007C3A5C" w:rsidP="007C3A5C">
      <w:pPr>
        <w:pStyle w:val="EndNoteBibliography"/>
        <w:spacing w:after="0"/>
        <w:jc w:val="both"/>
      </w:pPr>
      <w:r w:rsidRPr="007C3A5C">
        <w:t>17. Lok CE, Huber TS, Lee T, Shenoy S, Yevzlin AS, Abreo K, et al. KDOQI clinical practice guideline for vascular access: 2019 update. Am J Kidney Dis. 2020;75:S1-S164.</w:t>
      </w:r>
    </w:p>
    <w:p w14:paraId="1E2B8F4C" w14:textId="77777777" w:rsidR="007C3A5C" w:rsidRPr="007C3A5C" w:rsidRDefault="007C3A5C" w:rsidP="007C3A5C">
      <w:pPr>
        <w:pStyle w:val="EndNoteBibliography"/>
        <w:spacing w:after="0"/>
        <w:jc w:val="both"/>
      </w:pPr>
      <w:r w:rsidRPr="007C3A5C">
        <w:t>18. Neeland IJ, Drazner MH, Berry JD, Ayers CR, deFilippi C, Seliger SL, et al. Biomarkers of Chronic Cardiac Injury and Hemodynamic Stress Identify a Malignant Phenotype of Left Ventricular Hypertrophy in the General Population. JACC. 2013;61:187-95.</w:t>
      </w:r>
    </w:p>
    <w:p w14:paraId="1128D259" w14:textId="77777777" w:rsidR="007C3A5C" w:rsidRPr="007C3A5C" w:rsidRDefault="007C3A5C" w:rsidP="007C3A5C">
      <w:pPr>
        <w:pStyle w:val="EndNoteBibliography"/>
        <w:spacing w:after="0"/>
        <w:jc w:val="both"/>
      </w:pPr>
      <w:r w:rsidRPr="007C3A5C">
        <w:t>19. Canney M, Tang M, Er L, Barbour SJ, Djurdjev O, Levin A, et al. Glomerular filtration rate-specific cutoffs can refine the prognostic value of circulating cardiac biomarkers in advanced chronic kidney disease. Can J Cardiol. 2019;35:1106-13.</w:t>
      </w:r>
    </w:p>
    <w:p w14:paraId="36170BAB" w14:textId="77777777" w:rsidR="007C3A5C" w:rsidRPr="007C3A5C" w:rsidRDefault="007C3A5C" w:rsidP="007C3A5C">
      <w:pPr>
        <w:pStyle w:val="EndNoteBibliography"/>
        <w:spacing w:after="0"/>
        <w:jc w:val="both"/>
      </w:pPr>
      <w:r w:rsidRPr="007C3A5C">
        <w:t>20. Kalaji FR, Albitar S. Predictive value of cardiac troponin T and I in hemodialysis patients. Saudi J Kidney Dis Transpl. 2012;23:939-45.</w:t>
      </w:r>
    </w:p>
    <w:p w14:paraId="37655E4A" w14:textId="77777777" w:rsidR="007C3A5C" w:rsidRPr="007C3A5C" w:rsidRDefault="007C3A5C" w:rsidP="007C3A5C">
      <w:pPr>
        <w:pStyle w:val="EndNoteBibliography"/>
        <w:spacing w:after="0"/>
        <w:jc w:val="both"/>
      </w:pPr>
      <w:r w:rsidRPr="007C3A5C">
        <w:t>21. Porter G, Norton T, Bennett W. Long term follow up of the utility of troponin T to assess cardiac risk in stable chronic hemodialysis patients. Clin Lab. 2000;46:469-76.</w:t>
      </w:r>
    </w:p>
    <w:p w14:paraId="59201F7E" w14:textId="77777777" w:rsidR="007C3A5C" w:rsidRPr="007C3A5C" w:rsidRDefault="007C3A5C" w:rsidP="007C3A5C">
      <w:pPr>
        <w:pStyle w:val="EndNoteBibliography"/>
        <w:spacing w:after="0"/>
        <w:jc w:val="both"/>
      </w:pPr>
      <w:r w:rsidRPr="007C3A5C">
        <w:t>22. Hickman PE, McGill D, Potter JM, Koerbin G, Apple FS, Talaulikar G. Multiple biomarkers including cardiac troponins T and I measured by high-sensitivity assays, as predictors of long-term mortality in patients with chronic renal failure who underwent dialysis. Am J Cardiol. 2015;115:1601-6.</w:t>
      </w:r>
    </w:p>
    <w:p w14:paraId="2A7139E6" w14:textId="77777777" w:rsidR="007C3A5C" w:rsidRPr="007C3A5C" w:rsidRDefault="007C3A5C" w:rsidP="007C3A5C">
      <w:pPr>
        <w:pStyle w:val="EndNoteBibliography"/>
        <w:spacing w:after="0"/>
        <w:jc w:val="both"/>
      </w:pPr>
      <w:r w:rsidRPr="007C3A5C">
        <w:t>23. Khan IA, Wattanasuwan N, Mehta NJ, Tun A, Singh N, Singh HK, et al. Prognostic value of serum cardiac troponin I in ambulatory patients with chronic renal failure undergoing long-term hemodialysis: a two-year outcome analysis. J Am Coll Cardiol. 2001;38:991-8.</w:t>
      </w:r>
    </w:p>
    <w:p w14:paraId="12FFEDC1" w14:textId="77777777" w:rsidR="007C3A5C" w:rsidRPr="007C3A5C" w:rsidRDefault="007C3A5C" w:rsidP="007C3A5C">
      <w:pPr>
        <w:pStyle w:val="EndNoteBibliography"/>
        <w:jc w:val="both"/>
      </w:pPr>
      <w:r w:rsidRPr="007C3A5C">
        <w:lastRenderedPageBreak/>
        <w:t>24. Wongcharoen W, Chombandit T, Phrommintikul A, Noppakun K. Variability of high-sensitivity cardiac troponin T and I in asymptomatic patients receiving hemodialysis. Sci Rep. 2021;11:17-34.</w:t>
      </w:r>
    </w:p>
    <w:p w14:paraId="7E7FC896" w14:textId="43EB028E" w:rsidR="0019100B" w:rsidRPr="00DF16A5" w:rsidRDefault="000245C3" w:rsidP="007C3A5C">
      <w:pPr>
        <w:pStyle w:val="EndNoteBibliography"/>
        <w:jc w:val="both"/>
        <w:rPr>
          <w:rFonts w:eastAsia="Times New Roman"/>
          <w:highlight w:val="yellow"/>
        </w:rPr>
      </w:pPr>
      <w:r w:rsidRPr="008A6667">
        <w:rPr>
          <w:szCs w:val="24"/>
        </w:rPr>
        <w:fldChar w:fldCharType="end"/>
      </w:r>
      <w:r w:rsidR="00226407" w:rsidRPr="00DF16A5">
        <w:rPr>
          <w:highlight w:val="yellow"/>
        </w:rPr>
        <w:br w:type="page"/>
      </w:r>
    </w:p>
    <w:p w14:paraId="451DF4BA" w14:textId="29C71CA2" w:rsidR="00AF605B" w:rsidRPr="00AF605B" w:rsidRDefault="002F510C" w:rsidP="00AF605B">
      <w:pPr>
        <w:pStyle w:val="Caption"/>
        <w:spacing w:after="0"/>
        <w:ind w:left="-426"/>
        <w:jc w:val="both"/>
        <w:rPr>
          <w:rFonts w:eastAsia="Calibri"/>
          <w:szCs w:val="24"/>
        </w:rPr>
      </w:pPr>
      <w:r>
        <w:lastRenderedPageBreak/>
        <w:t xml:space="preserve">Table </w:t>
      </w:r>
      <w:r w:rsidR="00C36030">
        <w:fldChar w:fldCharType="begin"/>
      </w:r>
      <w:r w:rsidR="00C36030">
        <w:instrText xml:space="preserve"> SEQ Table \* ARABIC </w:instrText>
      </w:r>
      <w:r w:rsidR="00C36030">
        <w:fldChar w:fldCharType="separate"/>
      </w:r>
      <w:r w:rsidR="00583979">
        <w:rPr>
          <w:noProof/>
        </w:rPr>
        <w:t>1</w:t>
      </w:r>
      <w:r w:rsidR="00C36030">
        <w:fldChar w:fldCharType="end"/>
      </w:r>
      <w:r>
        <w:t xml:space="preserve">: </w:t>
      </w:r>
      <w:r w:rsidR="00216009" w:rsidRPr="00216009">
        <w:rPr>
          <w:rFonts w:eastAsia="Calibri"/>
          <w:szCs w:val="24"/>
        </w:rPr>
        <w:t>Demographic data</w:t>
      </w:r>
      <w:r w:rsidR="00AF605B">
        <w:rPr>
          <w:rFonts w:eastAsia="Calibri"/>
          <w:szCs w:val="24"/>
        </w:rPr>
        <w:t xml:space="preserve"> and c</w:t>
      </w:r>
      <w:r w:rsidR="00AF605B" w:rsidRPr="00AF605B">
        <w:rPr>
          <w:rFonts w:eastAsia="Calibri"/>
          <w:szCs w:val="24"/>
        </w:rPr>
        <w:t>linical data</w:t>
      </w:r>
      <w:r w:rsidR="00216009" w:rsidRPr="00216009">
        <w:rPr>
          <w:rFonts w:eastAsia="Calibri"/>
          <w:szCs w:val="24"/>
        </w:rPr>
        <w:t xml:space="preserve"> according to post -HB /Pre-HB ratio categories</w:t>
      </w:r>
      <w:r w:rsidR="00AF605B">
        <w:rPr>
          <w:rFonts w:eastAsia="Calibri"/>
          <w:szCs w:val="24"/>
        </w:rPr>
        <w:t>, h</w:t>
      </w:r>
      <w:r w:rsidR="00AF605B" w:rsidRPr="00AF605B">
        <w:rPr>
          <w:rFonts w:eastAsia="Calibri"/>
          <w:szCs w:val="24"/>
        </w:rPr>
        <w:t>emodialysis duration, post-dialysis weight loss, BMI and ultrafiltration rate according to post-HB /Pre-HB ratio categories</w:t>
      </w:r>
    </w:p>
    <w:tbl>
      <w:tblPr>
        <w:tblStyle w:val="GridTable6Colorful11"/>
        <w:tblpPr w:leftFromText="180" w:rightFromText="180" w:vertAnchor="text" w:tblpXSpec="center" w:tblpY="1"/>
        <w:tblW w:w="10062" w:type="dxa"/>
        <w:tblLayout w:type="fixed"/>
        <w:tblLook w:val="04A0" w:firstRow="1" w:lastRow="0" w:firstColumn="1" w:lastColumn="0" w:noHBand="0" w:noVBand="1"/>
      </w:tblPr>
      <w:tblGrid>
        <w:gridCol w:w="1364"/>
        <w:gridCol w:w="1183"/>
        <w:gridCol w:w="709"/>
        <w:gridCol w:w="850"/>
        <w:gridCol w:w="567"/>
        <w:gridCol w:w="851"/>
        <w:gridCol w:w="567"/>
        <w:gridCol w:w="850"/>
        <w:gridCol w:w="567"/>
        <w:gridCol w:w="851"/>
        <w:gridCol w:w="1703"/>
      </w:tblGrid>
      <w:tr w:rsidR="005D23DC" w:rsidRPr="004D0C5A" w14:paraId="32203EA1" w14:textId="77777777" w:rsidTr="005D23DC">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547" w:type="dxa"/>
            <w:gridSpan w:val="2"/>
            <w:vMerge w:val="restart"/>
            <w:vAlign w:val="center"/>
          </w:tcPr>
          <w:p w14:paraId="1D7F3894" w14:textId="77777777" w:rsidR="005D23DC" w:rsidRPr="004D0C5A" w:rsidRDefault="005D23DC" w:rsidP="00AF605B">
            <w:pPr>
              <w:spacing w:line="276" w:lineRule="auto"/>
              <w:jc w:val="center"/>
              <w:textAlignment w:val="top"/>
              <w:rPr>
                <w:rFonts w:ascii="Times New Roman" w:hAnsi="Times New Roman" w:cs="Times New Roman"/>
                <w:b w:val="0"/>
                <w:bCs w:val="0"/>
                <w:i/>
                <w:iCs/>
                <w:sz w:val="20"/>
                <w:szCs w:val="20"/>
              </w:rPr>
            </w:pPr>
            <w:bookmarkStart w:id="12" w:name="_Hlk203986094"/>
          </w:p>
        </w:tc>
        <w:tc>
          <w:tcPr>
            <w:tcW w:w="1559" w:type="dxa"/>
            <w:gridSpan w:val="2"/>
            <w:vAlign w:val="center"/>
            <w:hideMark/>
          </w:tcPr>
          <w:p w14:paraId="34AA36C5"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Group (1)</w:t>
            </w:r>
          </w:p>
          <w:p w14:paraId="0103F578"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&lt;1</w:t>
            </w:r>
          </w:p>
          <w:p w14:paraId="0FEC9E2A"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(N= 20)</w:t>
            </w:r>
          </w:p>
        </w:tc>
        <w:tc>
          <w:tcPr>
            <w:tcW w:w="1418" w:type="dxa"/>
            <w:gridSpan w:val="2"/>
            <w:vAlign w:val="center"/>
            <w:hideMark/>
          </w:tcPr>
          <w:p w14:paraId="037C7320"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Group (2)</w:t>
            </w:r>
          </w:p>
          <w:p w14:paraId="585944A3"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1- &lt;1.1</w:t>
            </w:r>
          </w:p>
          <w:p w14:paraId="73AB17A3"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(N= 38)</w:t>
            </w:r>
          </w:p>
        </w:tc>
        <w:tc>
          <w:tcPr>
            <w:tcW w:w="1417" w:type="dxa"/>
            <w:gridSpan w:val="2"/>
            <w:vAlign w:val="center"/>
            <w:hideMark/>
          </w:tcPr>
          <w:p w14:paraId="05B6B876"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Group (3)</w:t>
            </w:r>
          </w:p>
          <w:p w14:paraId="4DCF3E3D"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1.1- &lt;1.2</w:t>
            </w:r>
          </w:p>
          <w:p w14:paraId="22938CEB"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(N= 22)</w:t>
            </w:r>
          </w:p>
        </w:tc>
        <w:tc>
          <w:tcPr>
            <w:tcW w:w="1418" w:type="dxa"/>
            <w:gridSpan w:val="2"/>
            <w:vAlign w:val="center"/>
            <w:hideMark/>
          </w:tcPr>
          <w:p w14:paraId="1191D649"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Group (4)</w:t>
            </w:r>
          </w:p>
          <w:p w14:paraId="22D669DD"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≥1.2</w:t>
            </w:r>
          </w:p>
          <w:p w14:paraId="16A817BB" w14:textId="77777777" w:rsidR="005D23DC" w:rsidRPr="004D0C5A" w:rsidRDefault="005D23DC" w:rsidP="00AF605B">
            <w:pPr>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(N= 20)</w:t>
            </w:r>
          </w:p>
        </w:tc>
        <w:tc>
          <w:tcPr>
            <w:tcW w:w="1703" w:type="dxa"/>
            <w:vMerge w:val="restart"/>
            <w:vAlign w:val="center"/>
            <w:hideMark/>
          </w:tcPr>
          <w:p w14:paraId="146642E0" w14:textId="77777777" w:rsidR="005D23DC" w:rsidRPr="004D0C5A" w:rsidRDefault="005D23DC" w:rsidP="00AF605B">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0C5A">
              <w:rPr>
                <w:rFonts w:ascii="Times New Roman" w:hAnsi="Times New Roman" w:cs="Times New Roman"/>
                <w:sz w:val="20"/>
                <w:szCs w:val="20"/>
              </w:rPr>
              <w:t>P-value</w:t>
            </w:r>
          </w:p>
        </w:tc>
      </w:tr>
      <w:tr w:rsidR="005D23DC" w:rsidRPr="004D0C5A" w14:paraId="64D11C64" w14:textId="77777777" w:rsidTr="005D23D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547" w:type="dxa"/>
            <w:gridSpan w:val="2"/>
            <w:vMerge/>
            <w:vAlign w:val="center"/>
            <w:hideMark/>
          </w:tcPr>
          <w:p w14:paraId="1A0F6342" w14:textId="77777777" w:rsidR="005D23DC" w:rsidRPr="004D0C5A" w:rsidRDefault="005D23DC" w:rsidP="00AF605B">
            <w:pPr>
              <w:spacing w:line="256" w:lineRule="auto"/>
              <w:jc w:val="center"/>
              <w:rPr>
                <w:rFonts w:ascii="Times New Roman" w:hAnsi="Times New Roman" w:cs="Times New Roman"/>
                <w:b w:val="0"/>
                <w:bCs w:val="0"/>
                <w:i/>
                <w:iCs/>
                <w:sz w:val="20"/>
                <w:szCs w:val="20"/>
              </w:rPr>
            </w:pPr>
          </w:p>
        </w:tc>
        <w:tc>
          <w:tcPr>
            <w:tcW w:w="709" w:type="dxa"/>
            <w:vAlign w:val="center"/>
            <w:hideMark/>
          </w:tcPr>
          <w:p w14:paraId="5B5F9A5D" w14:textId="56BB593A"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N</w:t>
            </w:r>
          </w:p>
        </w:tc>
        <w:tc>
          <w:tcPr>
            <w:tcW w:w="850" w:type="dxa"/>
            <w:vAlign w:val="center"/>
            <w:hideMark/>
          </w:tcPr>
          <w:p w14:paraId="7DB1D53F" w14:textId="77777777"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w:t>
            </w:r>
          </w:p>
        </w:tc>
        <w:tc>
          <w:tcPr>
            <w:tcW w:w="567" w:type="dxa"/>
            <w:vAlign w:val="center"/>
            <w:hideMark/>
          </w:tcPr>
          <w:p w14:paraId="2A4ECE92" w14:textId="6C5AF4A9"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N</w:t>
            </w:r>
          </w:p>
        </w:tc>
        <w:tc>
          <w:tcPr>
            <w:tcW w:w="851" w:type="dxa"/>
            <w:vAlign w:val="center"/>
            <w:hideMark/>
          </w:tcPr>
          <w:p w14:paraId="2C57741B" w14:textId="77777777"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w:t>
            </w:r>
          </w:p>
        </w:tc>
        <w:tc>
          <w:tcPr>
            <w:tcW w:w="567" w:type="dxa"/>
            <w:vAlign w:val="center"/>
            <w:hideMark/>
          </w:tcPr>
          <w:p w14:paraId="320E0B13" w14:textId="7868FB7D"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N</w:t>
            </w:r>
          </w:p>
        </w:tc>
        <w:tc>
          <w:tcPr>
            <w:tcW w:w="850" w:type="dxa"/>
            <w:vAlign w:val="center"/>
            <w:hideMark/>
          </w:tcPr>
          <w:p w14:paraId="5FCB9485" w14:textId="77777777"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w:t>
            </w:r>
          </w:p>
        </w:tc>
        <w:tc>
          <w:tcPr>
            <w:tcW w:w="567" w:type="dxa"/>
            <w:vAlign w:val="center"/>
            <w:hideMark/>
          </w:tcPr>
          <w:p w14:paraId="200D8A22" w14:textId="6E84F39A"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N</w:t>
            </w:r>
          </w:p>
        </w:tc>
        <w:tc>
          <w:tcPr>
            <w:tcW w:w="851" w:type="dxa"/>
            <w:vAlign w:val="center"/>
            <w:hideMark/>
          </w:tcPr>
          <w:p w14:paraId="42790FB2" w14:textId="77777777" w:rsidR="005D23DC" w:rsidRPr="004D0C5A" w:rsidRDefault="005D23DC"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w:t>
            </w:r>
          </w:p>
        </w:tc>
        <w:tc>
          <w:tcPr>
            <w:tcW w:w="1703" w:type="dxa"/>
            <w:vMerge/>
            <w:vAlign w:val="center"/>
            <w:hideMark/>
          </w:tcPr>
          <w:p w14:paraId="17DBC2E9" w14:textId="77777777" w:rsidR="005D23DC" w:rsidRPr="004D0C5A" w:rsidRDefault="005D23DC" w:rsidP="00AF605B">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AF605B" w:rsidRPr="004D0C5A" w14:paraId="4552C309" w14:textId="77777777" w:rsidTr="004D0C5A">
        <w:trPr>
          <w:trHeight w:val="353"/>
        </w:trPr>
        <w:tc>
          <w:tcPr>
            <w:cnfStyle w:val="001000000000" w:firstRow="0" w:lastRow="0" w:firstColumn="1" w:lastColumn="0" w:oddVBand="0" w:evenVBand="0" w:oddHBand="0" w:evenHBand="0" w:firstRowFirstColumn="0" w:firstRowLastColumn="0" w:lastRowFirstColumn="0" w:lastRowLastColumn="0"/>
            <w:tcW w:w="10062" w:type="dxa"/>
            <w:gridSpan w:val="11"/>
            <w:vAlign w:val="center"/>
          </w:tcPr>
          <w:p w14:paraId="555F5528" w14:textId="05B01C34" w:rsidR="00AF605B" w:rsidRPr="004D0C5A" w:rsidRDefault="00AF605B" w:rsidP="00AF605B">
            <w:pPr>
              <w:spacing w:line="256" w:lineRule="auto"/>
              <w:jc w:val="center"/>
              <w:rPr>
                <w:rFonts w:ascii="Times New Roman" w:hAnsi="Times New Roman" w:cs="Times New Roman"/>
                <w:sz w:val="20"/>
                <w:szCs w:val="20"/>
              </w:rPr>
            </w:pPr>
            <w:r w:rsidRPr="004D0C5A">
              <w:rPr>
                <w:rFonts w:ascii="Times New Roman" w:hAnsi="Times New Roman" w:cs="Times New Roman"/>
                <w:sz w:val="20"/>
                <w:szCs w:val="20"/>
              </w:rPr>
              <w:t>Demographic data</w:t>
            </w:r>
          </w:p>
        </w:tc>
      </w:tr>
      <w:tr w:rsidR="005D23DC" w:rsidRPr="004D0C5A" w14:paraId="43A12019" w14:textId="77777777" w:rsidTr="005D23DC">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hideMark/>
          </w:tcPr>
          <w:p w14:paraId="453B0790" w14:textId="77777777" w:rsidR="00216009" w:rsidRPr="004D0C5A" w:rsidRDefault="00216009" w:rsidP="00AF605B">
            <w:pPr>
              <w:spacing w:line="276" w:lineRule="auto"/>
              <w:jc w:val="center"/>
              <w:textAlignment w:val="top"/>
              <w:rPr>
                <w:rFonts w:ascii="Times New Roman" w:hAnsi="Times New Roman" w:cs="Times New Roman"/>
                <w:b w:val="0"/>
                <w:bCs w:val="0"/>
                <w:sz w:val="20"/>
                <w:szCs w:val="20"/>
              </w:rPr>
            </w:pPr>
            <w:r w:rsidRPr="004D0C5A">
              <w:rPr>
                <w:rFonts w:ascii="Times New Roman" w:hAnsi="Times New Roman" w:cs="Times New Roman"/>
                <w:sz w:val="20"/>
                <w:szCs w:val="20"/>
              </w:rPr>
              <w:t>Gender</w:t>
            </w:r>
          </w:p>
        </w:tc>
        <w:tc>
          <w:tcPr>
            <w:tcW w:w="1183" w:type="dxa"/>
            <w:vAlign w:val="center"/>
            <w:hideMark/>
          </w:tcPr>
          <w:p w14:paraId="049DF3FC" w14:textId="7D824B42"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b/>
                <w:bCs/>
                <w:sz w:val="20"/>
                <w:szCs w:val="20"/>
              </w:rPr>
              <w:t>Male</w:t>
            </w:r>
          </w:p>
        </w:tc>
        <w:tc>
          <w:tcPr>
            <w:tcW w:w="709" w:type="dxa"/>
            <w:vAlign w:val="center"/>
            <w:hideMark/>
          </w:tcPr>
          <w:p w14:paraId="3AA5C7C4"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w:t>
            </w:r>
          </w:p>
        </w:tc>
        <w:tc>
          <w:tcPr>
            <w:tcW w:w="850" w:type="dxa"/>
            <w:vAlign w:val="center"/>
            <w:hideMark/>
          </w:tcPr>
          <w:p w14:paraId="04ED6D0B"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20.0%</w:t>
            </w:r>
          </w:p>
        </w:tc>
        <w:tc>
          <w:tcPr>
            <w:tcW w:w="567" w:type="dxa"/>
            <w:vAlign w:val="center"/>
            <w:hideMark/>
          </w:tcPr>
          <w:p w14:paraId="237CF35F"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36</w:t>
            </w:r>
          </w:p>
        </w:tc>
        <w:tc>
          <w:tcPr>
            <w:tcW w:w="851" w:type="dxa"/>
            <w:vAlign w:val="center"/>
            <w:hideMark/>
          </w:tcPr>
          <w:p w14:paraId="0B915C15"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94.7%</w:t>
            </w:r>
          </w:p>
        </w:tc>
        <w:tc>
          <w:tcPr>
            <w:tcW w:w="567" w:type="dxa"/>
            <w:vAlign w:val="center"/>
            <w:hideMark/>
          </w:tcPr>
          <w:p w14:paraId="62863990"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22</w:t>
            </w:r>
          </w:p>
        </w:tc>
        <w:tc>
          <w:tcPr>
            <w:tcW w:w="850" w:type="dxa"/>
            <w:vAlign w:val="center"/>
            <w:hideMark/>
          </w:tcPr>
          <w:p w14:paraId="525B4265"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100.0%</w:t>
            </w:r>
          </w:p>
        </w:tc>
        <w:tc>
          <w:tcPr>
            <w:tcW w:w="567" w:type="dxa"/>
            <w:vAlign w:val="center"/>
            <w:hideMark/>
          </w:tcPr>
          <w:p w14:paraId="120F0AEA"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20</w:t>
            </w:r>
          </w:p>
        </w:tc>
        <w:tc>
          <w:tcPr>
            <w:tcW w:w="851" w:type="dxa"/>
            <w:vAlign w:val="center"/>
            <w:hideMark/>
          </w:tcPr>
          <w:p w14:paraId="66226DE6"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100.0%</w:t>
            </w:r>
          </w:p>
        </w:tc>
        <w:tc>
          <w:tcPr>
            <w:tcW w:w="1703" w:type="dxa"/>
            <w:vMerge w:val="restart"/>
            <w:vAlign w:val="center"/>
            <w:hideMark/>
          </w:tcPr>
          <w:p w14:paraId="743F8368"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&lt;0.001**</w:t>
            </w:r>
          </w:p>
        </w:tc>
      </w:tr>
      <w:tr w:rsidR="00AF605B" w:rsidRPr="004D0C5A" w14:paraId="5594D614" w14:textId="77777777" w:rsidTr="005D23DC">
        <w:trPr>
          <w:trHeight w:val="366"/>
        </w:trPr>
        <w:tc>
          <w:tcPr>
            <w:cnfStyle w:val="001000000000" w:firstRow="0" w:lastRow="0" w:firstColumn="1" w:lastColumn="0" w:oddVBand="0" w:evenVBand="0" w:oddHBand="0" w:evenHBand="0" w:firstRowFirstColumn="0" w:firstRowLastColumn="0" w:lastRowFirstColumn="0" w:lastRowLastColumn="0"/>
            <w:tcW w:w="1364" w:type="dxa"/>
            <w:vMerge/>
            <w:vAlign w:val="center"/>
            <w:hideMark/>
          </w:tcPr>
          <w:p w14:paraId="1759278A" w14:textId="77777777" w:rsidR="00216009" w:rsidRPr="004D0C5A" w:rsidRDefault="00216009" w:rsidP="00AF605B">
            <w:pPr>
              <w:spacing w:line="256" w:lineRule="auto"/>
              <w:jc w:val="center"/>
              <w:rPr>
                <w:rFonts w:ascii="Times New Roman" w:hAnsi="Times New Roman" w:cs="Times New Roman"/>
                <w:b w:val="0"/>
                <w:bCs w:val="0"/>
                <w:sz w:val="20"/>
                <w:szCs w:val="20"/>
              </w:rPr>
            </w:pPr>
          </w:p>
        </w:tc>
        <w:tc>
          <w:tcPr>
            <w:tcW w:w="1183" w:type="dxa"/>
            <w:vAlign w:val="center"/>
            <w:hideMark/>
          </w:tcPr>
          <w:p w14:paraId="524EA569" w14:textId="0A8E2DF9"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b/>
                <w:bCs/>
                <w:sz w:val="20"/>
                <w:szCs w:val="20"/>
              </w:rPr>
              <w:t>Female</w:t>
            </w:r>
          </w:p>
        </w:tc>
        <w:tc>
          <w:tcPr>
            <w:tcW w:w="709" w:type="dxa"/>
            <w:vAlign w:val="center"/>
            <w:hideMark/>
          </w:tcPr>
          <w:p w14:paraId="2E2C838A"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16</w:t>
            </w:r>
          </w:p>
        </w:tc>
        <w:tc>
          <w:tcPr>
            <w:tcW w:w="850" w:type="dxa"/>
            <w:vAlign w:val="center"/>
            <w:hideMark/>
          </w:tcPr>
          <w:p w14:paraId="7CBF092A"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80.0%</w:t>
            </w:r>
          </w:p>
        </w:tc>
        <w:tc>
          <w:tcPr>
            <w:tcW w:w="567" w:type="dxa"/>
            <w:vAlign w:val="center"/>
            <w:hideMark/>
          </w:tcPr>
          <w:p w14:paraId="47CF8DC3"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w:t>
            </w:r>
          </w:p>
        </w:tc>
        <w:tc>
          <w:tcPr>
            <w:tcW w:w="851" w:type="dxa"/>
            <w:vAlign w:val="center"/>
            <w:hideMark/>
          </w:tcPr>
          <w:p w14:paraId="007E5546"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5.3%</w:t>
            </w:r>
          </w:p>
        </w:tc>
        <w:tc>
          <w:tcPr>
            <w:tcW w:w="567" w:type="dxa"/>
            <w:vAlign w:val="center"/>
            <w:hideMark/>
          </w:tcPr>
          <w:p w14:paraId="099A1355"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hideMark/>
          </w:tcPr>
          <w:p w14:paraId="76E4607E"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hideMark/>
          </w:tcPr>
          <w:p w14:paraId="3256CB75"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hideMark/>
          </w:tcPr>
          <w:p w14:paraId="46C8052B"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hideMark/>
          </w:tcPr>
          <w:p w14:paraId="4AD12C14" w14:textId="77777777" w:rsidR="00216009" w:rsidRPr="004D0C5A" w:rsidRDefault="00216009"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CC6D91" w:rsidRPr="004D0C5A" w14:paraId="4B38225C" w14:textId="77777777" w:rsidTr="005D23DC">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hideMark/>
          </w:tcPr>
          <w:p w14:paraId="49E5B3CD" w14:textId="77777777" w:rsidR="00216009" w:rsidRPr="004D0C5A" w:rsidRDefault="00216009" w:rsidP="00AF605B">
            <w:pPr>
              <w:spacing w:line="276" w:lineRule="auto"/>
              <w:jc w:val="center"/>
              <w:textAlignment w:val="top"/>
              <w:rPr>
                <w:rFonts w:ascii="Times New Roman" w:hAnsi="Times New Roman" w:cs="Times New Roman"/>
                <w:b w:val="0"/>
                <w:bCs w:val="0"/>
                <w:sz w:val="20"/>
                <w:szCs w:val="20"/>
              </w:rPr>
            </w:pPr>
            <w:r w:rsidRPr="004D0C5A">
              <w:rPr>
                <w:rFonts w:ascii="Times New Roman" w:hAnsi="Times New Roman" w:cs="Times New Roman"/>
                <w:sz w:val="20"/>
                <w:szCs w:val="20"/>
              </w:rPr>
              <w:t>Age (years)</w:t>
            </w:r>
          </w:p>
        </w:tc>
        <w:tc>
          <w:tcPr>
            <w:tcW w:w="1183" w:type="dxa"/>
            <w:vAlign w:val="center"/>
            <w:hideMark/>
          </w:tcPr>
          <w:p w14:paraId="0C2FA6F4"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Median (IQR)</w:t>
            </w:r>
          </w:p>
        </w:tc>
        <w:tc>
          <w:tcPr>
            <w:tcW w:w="1559" w:type="dxa"/>
            <w:gridSpan w:val="2"/>
            <w:vAlign w:val="center"/>
            <w:hideMark/>
          </w:tcPr>
          <w:p w14:paraId="1B248C33"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45 (44- 55)</w:t>
            </w:r>
          </w:p>
        </w:tc>
        <w:tc>
          <w:tcPr>
            <w:tcW w:w="1418" w:type="dxa"/>
            <w:gridSpan w:val="2"/>
            <w:vAlign w:val="center"/>
            <w:hideMark/>
          </w:tcPr>
          <w:p w14:paraId="642344C9"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54 (50- 58)</w:t>
            </w:r>
          </w:p>
        </w:tc>
        <w:tc>
          <w:tcPr>
            <w:tcW w:w="1417" w:type="dxa"/>
            <w:gridSpan w:val="2"/>
            <w:vAlign w:val="center"/>
            <w:hideMark/>
          </w:tcPr>
          <w:p w14:paraId="3812BF11"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60 (58- 64)</w:t>
            </w:r>
          </w:p>
        </w:tc>
        <w:tc>
          <w:tcPr>
            <w:tcW w:w="1418" w:type="dxa"/>
            <w:gridSpan w:val="2"/>
            <w:vAlign w:val="center"/>
            <w:hideMark/>
          </w:tcPr>
          <w:p w14:paraId="4238C62B"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63 (61- 66)</w:t>
            </w:r>
          </w:p>
        </w:tc>
        <w:tc>
          <w:tcPr>
            <w:tcW w:w="1703" w:type="dxa"/>
            <w:vMerge w:val="restart"/>
            <w:vAlign w:val="center"/>
            <w:hideMark/>
          </w:tcPr>
          <w:p w14:paraId="705A9D2B" w14:textId="77777777" w:rsidR="00216009" w:rsidRPr="004D0C5A" w:rsidRDefault="00216009"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b/>
                <w:bCs/>
                <w:sz w:val="20"/>
                <w:szCs w:val="20"/>
              </w:rPr>
              <w:t>&lt;0.001**</w:t>
            </w:r>
            <w:r w:rsidRPr="004D0C5A">
              <w:rPr>
                <w:rFonts w:ascii="Times New Roman" w:hAnsi="Times New Roman" w:cs="Times New Roman"/>
                <w:sz w:val="20"/>
                <w:szCs w:val="20"/>
              </w:rPr>
              <w:t>P</w:t>
            </w:r>
            <w:r w:rsidRPr="004D0C5A">
              <w:rPr>
                <w:rFonts w:ascii="Times New Roman" w:hAnsi="Times New Roman" w:cs="Times New Roman"/>
                <w:sz w:val="20"/>
                <w:szCs w:val="20"/>
                <w:vertAlign w:val="subscript"/>
              </w:rPr>
              <w:t>1-2</w:t>
            </w:r>
            <w:r w:rsidRPr="004D0C5A">
              <w:rPr>
                <w:rFonts w:ascii="Times New Roman" w:hAnsi="Times New Roman" w:cs="Times New Roman"/>
                <w:sz w:val="20"/>
                <w:szCs w:val="20"/>
              </w:rPr>
              <w:t>=1.00</w:t>
            </w:r>
          </w:p>
          <w:p w14:paraId="5F4C60F9" w14:textId="77777777" w:rsidR="00216009" w:rsidRPr="004D0C5A" w:rsidRDefault="00216009"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P</w:t>
            </w:r>
            <w:r w:rsidRPr="004D0C5A">
              <w:rPr>
                <w:rFonts w:ascii="Times New Roman" w:hAnsi="Times New Roman" w:cs="Times New Roman"/>
                <w:sz w:val="20"/>
                <w:szCs w:val="20"/>
                <w:vertAlign w:val="subscript"/>
              </w:rPr>
              <w:t>1-3</w:t>
            </w:r>
            <w:r w:rsidRPr="004D0C5A">
              <w:rPr>
                <w:rFonts w:ascii="Times New Roman" w:hAnsi="Times New Roman" w:cs="Times New Roman"/>
                <w:b/>
                <w:bCs/>
                <w:sz w:val="20"/>
                <w:szCs w:val="20"/>
              </w:rPr>
              <w:t>&lt;0.001</w:t>
            </w:r>
          </w:p>
          <w:p w14:paraId="10310F18" w14:textId="77777777" w:rsidR="00216009" w:rsidRPr="004D0C5A" w:rsidRDefault="00216009"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P</w:t>
            </w:r>
            <w:r w:rsidRPr="004D0C5A">
              <w:rPr>
                <w:rFonts w:ascii="Times New Roman" w:hAnsi="Times New Roman" w:cs="Times New Roman"/>
                <w:sz w:val="20"/>
                <w:szCs w:val="20"/>
                <w:vertAlign w:val="subscript"/>
              </w:rPr>
              <w:t>1-4</w:t>
            </w:r>
            <w:r w:rsidRPr="004D0C5A">
              <w:rPr>
                <w:rFonts w:ascii="Times New Roman" w:hAnsi="Times New Roman" w:cs="Times New Roman"/>
                <w:b/>
                <w:bCs/>
                <w:sz w:val="20"/>
                <w:szCs w:val="20"/>
              </w:rPr>
              <w:t>&lt;0.001</w:t>
            </w:r>
          </w:p>
          <w:p w14:paraId="451CCF01" w14:textId="77777777" w:rsidR="00216009" w:rsidRPr="004D0C5A" w:rsidRDefault="00216009"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P</w:t>
            </w:r>
            <w:r w:rsidRPr="004D0C5A">
              <w:rPr>
                <w:rFonts w:ascii="Times New Roman" w:hAnsi="Times New Roman" w:cs="Times New Roman"/>
                <w:sz w:val="20"/>
                <w:szCs w:val="20"/>
                <w:vertAlign w:val="subscript"/>
              </w:rPr>
              <w:t>2-3</w:t>
            </w:r>
            <w:r w:rsidRPr="004D0C5A">
              <w:rPr>
                <w:rFonts w:ascii="Times New Roman" w:hAnsi="Times New Roman" w:cs="Times New Roman"/>
                <w:b/>
                <w:bCs/>
                <w:sz w:val="20"/>
                <w:szCs w:val="20"/>
              </w:rPr>
              <w:t>&lt;0.001</w:t>
            </w:r>
          </w:p>
          <w:p w14:paraId="7D3E378B" w14:textId="77777777" w:rsidR="00216009" w:rsidRPr="004D0C5A" w:rsidRDefault="00216009"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P</w:t>
            </w:r>
            <w:r w:rsidRPr="004D0C5A">
              <w:rPr>
                <w:rFonts w:ascii="Times New Roman" w:hAnsi="Times New Roman" w:cs="Times New Roman"/>
                <w:sz w:val="20"/>
                <w:szCs w:val="20"/>
                <w:vertAlign w:val="subscript"/>
              </w:rPr>
              <w:t>2-4</w:t>
            </w:r>
            <w:r w:rsidRPr="004D0C5A">
              <w:rPr>
                <w:rFonts w:ascii="Times New Roman" w:hAnsi="Times New Roman" w:cs="Times New Roman"/>
                <w:b/>
                <w:bCs/>
                <w:sz w:val="20"/>
                <w:szCs w:val="20"/>
              </w:rPr>
              <w:t>&lt;0.001</w:t>
            </w:r>
          </w:p>
          <w:p w14:paraId="56E5DC0F" w14:textId="77777777" w:rsidR="00216009" w:rsidRPr="004D0C5A" w:rsidRDefault="00216009"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P</w:t>
            </w:r>
            <w:r w:rsidRPr="004D0C5A">
              <w:rPr>
                <w:rFonts w:ascii="Times New Roman" w:hAnsi="Times New Roman" w:cs="Times New Roman"/>
                <w:sz w:val="20"/>
                <w:szCs w:val="20"/>
                <w:vertAlign w:val="subscript"/>
              </w:rPr>
              <w:t>3-4</w:t>
            </w:r>
            <w:r w:rsidRPr="004D0C5A">
              <w:rPr>
                <w:rFonts w:ascii="Times New Roman" w:hAnsi="Times New Roman" w:cs="Times New Roman"/>
                <w:sz w:val="20"/>
                <w:szCs w:val="20"/>
              </w:rPr>
              <w:t>=0.798</w:t>
            </w:r>
          </w:p>
        </w:tc>
      </w:tr>
      <w:tr w:rsidR="00AF605B" w:rsidRPr="004D0C5A" w14:paraId="306CC245" w14:textId="77777777" w:rsidTr="005D23DC">
        <w:trPr>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hideMark/>
          </w:tcPr>
          <w:p w14:paraId="438B0760" w14:textId="77777777" w:rsidR="00216009" w:rsidRPr="004D0C5A" w:rsidRDefault="00216009" w:rsidP="00AF605B">
            <w:pPr>
              <w:spacing w:line="256" w:lineRule="auto"/>
              <w:jc w:val="center"/>
              <w:rPr>
                <w:rFonts w:ascii="Times New Roman" w:hAnsi="Times New Roman" w:cs="Times New Roman"/>
                <w:b w:val="0"/>
                <w:bCs w:val="0"/>
                <w:sz w:val="20"/>
                <w:szCs w:val="20"/>
              </w:rPr>
            </w:pPr>
          </w:p>
        </w:tc>
        <w:tc>
          <w:tcPr>
            <w:tcW w:w="1183" w:type="dxa"/>
            <w:vAlign w:val="center"/>
            <w:hideMark/>
          </w:tcPr>
          <w:p w14:paraId="47A6D38D" w14:textId="0B865AD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b/>
                <w:bCs/>
                <w:sz w:val="20"/>
                <w:szCs w:val="20"/>
              </w:rPr>
              <w:t>Range</w:t>
            </w:r>
          </w:p>
        </w:tc>
        <w:tc>
          <w:tcPr>
            <w:tcW w:w="1559" w:type="dxa"/>
            <w:gridSpan w:val="2"/>
            <w:vAlign w:val="center"/>
            <w:hideMark/>
          </w:tcPr>
          <w:p w14:paraId="660EB4B8"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40- 60</w:t>
            </w:r>
          </w:p>
        </w:tc>
        <w:tc>
          <w:tcPr>
            <w:tcW w:w="1418" w:type="dxa"/>
            <w:gridSpan w:val="2"/>
            <w:vAlign w:val="center"/>
            <w:hideMark/>
          </w:tcPr>
          <w:p w14:paraId="5D37D148"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40- 60</w:t>
            </w:r>
          </w:p>
        </w:tc>
        <w:tc>
          <w:tcPr>
            <w:tcW w:w="1417" w:type="dxa"/>
            <w:gridSpan w:val="2"/>
            <w:vAlign w:val="center"/>
            <w:hideMark/>
          </w:tcPr>
          <w:p w14:paraId="41649A36"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57- 66</w:t>
            </w:r>
          </w:p>
        </w:tc>
        <w:tc>
          <w:tcPr>
            <w:tcW w:w="1418" w:type="dxa"/>
            <w:gridSpan w:val="2"/>
            <w:vAlign w:val="center"/>
            <w:hideMark/>
          </w:tcPr>
          <w:p w14:paraId="4B7CE867" w14:textId="77777777" w:rsidR="00216009" w:rsidRPr="004D0C5A" w:rsidRDefault="00216009"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58- 67</w:t>
            </w:r>
          </w:p>
        </w:tc>
        <w:tc>
          <w:tcPr>
            <w:tcW w:w="1703" w:type="dxa"/>
            <w:vMerge/>
            <w:vAlign w:val="center"/>
            <w:hideMark/>
          </w:tcPr>
          <w:p w14:paraId="3A42D186" w14:textId="77777777" w:rsidR="00216009" w:rsidRPr="004D0C5A" w:rsidRDefault="00216009"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F605B" w:rsidRPr="004D0C5A" w14:paraId="016CCDC5" w14:textId="77777777" w:rsidTr="004D0C5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062" w:type="dxa"/>
            <w:gridSpan w:val="11"/>
            <w:vAlign w:val="center"/>
          </w:tcPr>
          <w:p w14:paraId="08716643" w14:textId="5A29314E" w:rsidR="00AF605B" w:rsidRPr="004D0C5A" w:rsidRDefault="00AF605B" w:rsidP="00AF605B">
            <w:pPr>
              <w:spacing w:line="256" w:lineRule="auto"/>
              <w:jc w:val="center"/>
              <w:rPr>
                <w:rFonts w:ascii="Times New Roman" w:hAnsi="Times New Roman" w:cs="Times New Roman"/>
                <w:sz w:val="20"/>
                <w:szCs w:val="20"/>
              </w:rPr>
            </w:pPr>
            <w:r w:rsidRPr="004D0C5A">
              <w:rPr>
                <w:rFonts w:ascii="Times New Roman" w:hAnsi="Times New Roman" w:cs="Times New Roman"/>
                <w:sz w:val="20"/>
                <w:szCs w:val="20"/>
              </w:rPr>
              <w:t>Clinical data</w:t>
            </w:r>
          </w:p>
        </w:tc>
      </w:tr>
      <w:tr w:rsidR="004D0C5A" w:rsidRPr="004D0C5A" w14:paraId="115758EB" w14:textId="77777777" w:rsidTr="005D23DC">
        <w:trPr>
          <w:trHeight w:val="298"/>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3E85103D" w14:textId="73599949" w:rsidR="00AF605B" w:rsidRPr="004D0C5A" w:rsidRDefault="00AF605B" w:rsidP="00AF605B">
            <w:pPr>
              <w:spacing w:line="256" w:lineRule="auto"/>
              <w:jc w:val="center"/>
              <w:rPr>
                <w:rFonts w:ascii="Times New Roman" w:hAnsi="Times New Roman" w:cs="Times New Roman"/>
                <w:b w:val="0"/>
                <w:bCs w:val="0"/>
                <w:sz w:val="20"/>
                <w:szCs w:val="20"/>
              </w:rPr>
            </w:pPr>
            <w:r w:rsidRPr="004D0C5A">
              <w:rPr>
                <w:rFonts w:ascii="Times New Roman" w:hAnsi="Times New Roman" w:cs="Times New Roman"/>
                <w:sz w:val="20"/>
                <w:szCs w:val="20"/>
              </w:rPr>
              <w:t>Causes of CKD</w:t>
            </w:r>
          </w:p>
        </w:tc>
        <w:tc>
          <w:tcPr>
            <w:tcW w:w="1183" w:type="dxa"/>
            <w:vAlign w:val="center"/>
          </w:tcPr>
          <w:p w14:paraId="11CCD02D" w14:textId="4F5A7BAE"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ADPCK</w:t>
            </w:r>
          </w:p>
        </w:tc>
        <w:tc>
          <w:tcPr>
            <w:tcW w:w="709" w:type="dxa"/>
            <w:vAlign w:val="center"/>
          </w:tcPr>
          <w:p w14:paraId="7D86B3FC" w14:textId="5D47AD48"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795B03EB" w14:textId="21CF92A7"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62B86C3E" w14:textId="3339CEEF"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w:t>
            </w:r>
          </w:p>
        </w:tc>
        <w:tc>
          <w:tcPr>
            <w:tcW w:w="851" w:type="dxa"/>
            <w:vAlign w:val="center"/>
          </w:tcPr>
          <w:p w14:paraId="33B249B4" w14:textId="4BC47E7D"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5.3%</w:t>
            </w:r>
          </w:p>
        </w:tc>
        <w:tc>
          <w:tcPr>
            <w:tcW w:w="567" w:type="dxa"/>
            <w:vAlign w:val="center"/>
          </w:tcPr>
          <w:p w14:paraId="1BCC109F" w14:textId="4C356F2E"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6</w:t>
            </w:r>
          </w:p>
        </w:tc>
        <w:tc>
          <w:tcPr>
            <w:tcW w:w="850" w:type="dxa"/>
            <w:vAlign w:val="center"/>
          </w:tcPr>
          <w:p w14:paraId="59C257A1" w14:textId="38F71586"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27.3%</w:t>
            </w:r>
          </w:p>
        </w:tc>
        <w:tc>
          <w:tcPr>
            <w:tcW w:w="567" w:type="dxa"/>
            <w:vAlign w:val="center"/>
          </w:tcPr>
          <w:p w14:paraId="330EA2B5" w14:textId="7A017909"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w:t>
            </w:r>
          </w:p>
        </w:tc>
        <w:tc>
          <w:tcPr>
            <w:tcW w:w="851" w:type="dxa"/>
            <w:vAlign w:val="center"/>
          </w:tcPr>
          <w:p w14:paraId="0FA8A225" w14:textId="258D59CA"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50.0%</w:t>
            </w:r>
          </w:p>
        </w:tc>
        <w:tc>
          <w:tcPr>
            <w:tcW w:w="1703" w:type="dxa"/>
            <w:vMerge w:val="restart"/>
            <w:vAlign w:val="center"/>
          </w:tcPr>
          <w:p w14:paraId="4E258B21" w14:textId="621E10C4" w:rsidR="00AF605B" w:rsidRPr="004D0C5A" w:rsidRDefault="00AF605B"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b/>
                <w:bCs/>
                <w:sz w:val="20"/>
                <w:szCs w:val="20"/>
              </w:rPr>
              <w:t>&lt;0.001**</w:t>
            </w:r>
          </w:p>
        </w:tc>
      </w:tr>
      <w:tr w:rsidR="005D23DC" w:rsidRPr="004D0C5A" w14:paraId="3117758C" w14:textId="77777777" w:rsidTr="005D23D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4AE6B32F" w14:textId="77777777" w:rsidR="00AF605B" w:rsidRPr="004D0C5A" w:rsidRDefault="00AF605B" w:rsidP="00AF605B">
            <w:pPr>
              <w:spacing w:line="256" w:lineRule="auto"/>
              <w:jc w:val="center"/>
              <w:rPr>
                <w:rFonts w:ascii="Times New Roman" w:hAnsi="Times New Roman" w:cs="Times New Roman"/>
                <w:b w:val="0"/>
                <w:bCs w:val="0"/>
                <w:sz w:val="20"/>
                <w:szCs w:val="20"/>
              </w:rPr>
            </w:pPr>
          </w:p>
        </w:tc>
        <w:tc>
          <w:tcPr>
            <w:tcW w:w="1183" w:type="dxa"/>
            <w:vAlign w:val="center"/>
          </w:tcPr>
          <w:p w14:paraId="0F74DC2E" w14:textId="6C053FA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Diabetic nephropathy</w:t>
            </w:r>
          </w:p>
        </w:tc>
        <w:tc>
          <w:tcPr>
            <w:tcW w:w="709" w:type="dxa"/>
            <w:vAlign w:val="center"/>
          </w:tcPr>
          <w:p w14:paraId="112F9CD7" w14:textId="20686BB9"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8</w:t>
            </w:r>
          </w:p>
        </w:tc>
        <w:tc>
          <w:tcPr>
            <w:tcW w:w="850" w:type="dxa"/>
            <w:vAlign w:val="center"/>
          </w:tcPr>
          <w:p w14:paraId="6AA0AC8F" w14:textId="60F9618F"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40.0%</w:t>
            </w:r>
          </w:p>
        </w:tc>
        <w:tc>
          <w:tcPr>
            <w:tcW w:w="567" w:type="dxa"/>
            <w:vAlign w:val="center"/>
          </w:tcPr>
          <w:p w14:paraId="3108DC97" w14:textId="5A20A47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w:t>
            </w:r>
          </w:p>
        </w:tc>
        <w:tc>
          <w:tcPr>
            <w:tcW w:w="851" w:type="dxa"/>
            <w:vAlign w:val="center"/>
          </w:tcPr>
          <w:p w14:paraId="3C036340" w14:textId="3152F45A"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10.5%</w:t>
            </w:r>
          </w:p>
        </w:tc>
        <w:tc>
          <w:tcPr>
            <w:tcW w:w="567" w:type="dxa"/>
            <w:vAlign w:val="center"/>
          </w:tcPr>
          <w:p w14:paraId="69035248" w14:textId="5674E93A"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w:t>
            </w:r>
          </w:p>
        </w:tc>
        <w:tc>
          <w:tcPr>
            <w:tcW w:w="850" w:type="dxa"/>
            <w:vAlign w:val="center"/>
          </w:tcPr>
          <w:p w14:paraId="3F7891A9" w14:textId="5E242950"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9.1%</w:t>
            </w:r>
          </w:p>
        </w:tc>
        <w:tc>
          <w:tcPr>
            <w:tcW w:w="567" w:type="dxa"/>
            <w:vAlign w:val="center"/>
          </w:tcPr>
          <w:p w14:paraId="0F78E3C1" w14:textId="2C51DAB3"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2BC6110C" w14:textId="5B3FC96F"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tcPr>
          <w:p w14:paraId="60582886" w14:textId="77777777" w:rsidR="00AF605B" w:rsidRPr="004D0C5A" w:rsidRDefault="00AF605B" w:rsidP="00AF605B">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D0C5A" w:rsidRPr="004D0C5A" w14:paraId="7465C14E" w14:textId="77777777" w:rsidTr="005D23DC">
        <w:trPr>
          <w:trHeight w:val="73"/>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7531C902" w14:textId="77777777" w:rsidR="00AF605B" w:rsidRPr="004D0C5A" w:rsidRDefault="00AF605B" w:rsidP="00AF605B">
            <w:pPr>
              <w:spacing w:line="256" w:lineRule="auto"/>
              <w:jc w:val="center"/>
              <w:rPr>
                <w:rFonts w:ascii="Times New Roman" w:hAnsi="Times New Roman" w:cs="Times New Roman"/>
                <w:b w:val="0"/>
                <w:bCs w:val="0"/>
                <w:sz w:val="20"/>
                <w:szCs w:val="20"/>
              </w:rPr>
            </w:pPr>
          </w:p>
        </w:tc>
        <w:tc>
          <w:tcPr>
            <w:tcW w:w="1183" w:type="dxa"/>
            <w:vAlign w:val="center"/>
          </w:tcPr>
          <w:p w14:paraId="11F93502" w14:textId="7EB5CEA9"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HTN</w:t>
            </w:r>
          </w:p>
        </w:tc>
        <w:tc>
          <w:tcPr>
            <w:tcW w:w="709" w:type="dxa"/>
            <w:vAlign w:val="center"/>
          </w:tcPr>
          <w:p w14:paraId="20735B21" w14:textId="1FC61704"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047BCCD2" w14:textId="0D6DC468"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1C6D40E0" w14:textId="471475FD"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16</w:t>
            </w:r>
          </w:p>
        </w:tc>
        <w:tc>
          <w:tcPr>
            <w:tcW w:w="851" w:type="dxa"/>
            <w:vAlign w:val="center"/>
          </w:tcPr>
          <w:p w14:paraId="265E87C6" w14:textId="76FF4B31"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42.1%</w:t>
            </w:r>
          </w:p>
        </w:tc>
        <w:tc>
          <w:tcPr>
            <w:tcW w:w="567" w:type="dxa"/>
            <w:vAlign w:val="center"/>
          </w:tcPr>
          <w:p w14:paraId="138B8BD4" w14:textId="3AF4804D"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8</w:t>
            </w:r>
          </w:p>
        </w:tc>
        <w:tc>
          <w:tcPr>
            <w:tcW w:w="850" w:type="dxa"/>
            <w:vAlign w:val="center"/>
          </w:tcPr>
          <w:p w14:paraId="6B7FEFC5" w14:textId="50EADA38"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36.4%</w:t>
            </w:r>
          </w:p>
        </w:tc>
        <w:tc>
          <w:tcPr>
            <w:tcW w:w="567" w:type="dxa"/>
            <w:vAlign w:val="center"/>
          </w:tcPr>
          <w:p w14:paraId="261E5BC5" w14:textId="5CC284C9"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w:t>
            </w:r>
          </w:p>
        </w:tc>
        <w:tc>
          <w:tcPr>
            <w:tcW w:w="851" w:type="dxa"/>
            <w:vAlign w:val="center"/>
          </w:tcPr>
          <w:p w14:paraId="75B34A23" w14:textId="2D6D092F"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50.0%</w:t>
            </w:r>
          </w:p>
        </w:tc>
        <w:tc>
          <w:tcPr>
            <w:tcW w:w="1703" w:type="dxa"/>
            <w:vMerge/>
            <w:vAlign w:val="center"/>
          </w:tcPr>
          <w:p w14:paraId="22B0D19A" w14:textId="77777777" w:rsidR="00AF605B" w:rsidRPr="004D0C5A" w:rsidRDefault="00AF605B"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23DC" w:rsidRPr="004D0C5A" w14:paraId="0A488B1F" w14:textId="77777777" w:rsidTr="005D23D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37D8C481" w14:textId="77777777" w:rsidR="00AF605B" w:rsidRPr="004D0C5A" w:rsidRDefault="00AF605B" w:rsidP="00AF605B">
            <w:pPr>
              <w:spacing w:line="256" w:lineRule="auto"/>
              <w:jc w:val="center"/>
              <w:rPr>
                <w:rFonts w:ascii="Times New Roman" w:hAnsi="Times New Roman" w:cs="Times New Roman"/>
                <w:b w:val="0"/>
                <w:bCs w:val="0"/>
                <w:sz w:val="20"/>
                <w:szCs w:val="20"/>
              </w:rPr>
            </w:pPr>
          </w:p>
        </w:tc>
        <w:tc>
          <w:tcPr>
            <w:tcW w:w="1183" w:type="dxa"/>
            <w:vAlign w:val="center"/>
          </w:tcPr>
          <w:p w14:paraId="11F763E7" w14:textId="1C0DCFB9"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NSAID</w:t>
            </w:r>
          </w:p>
        </w:tc>
        <w:tc>
          <w:tcPr>
            <w:tcW w:w="709" w:type="dxa"/>
            <w:vAlign w:val="center"/>
          </w:tcPr>
          <w:p w14:paraId="5AC062FE" w14:textId="58E6AD2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21A28E74" w14:textId="248E36F8"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743FCC5B" w14:textId="7EDF9498"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12</w:t>
            </w:r>
          </w:p>
        </w:tc>
        <w:tc>
          <w:tcPr>
            <w:tcW w:w="851" w:type="dxa"/>
            <w:vAlign w:val="center"/>
          </w:tcPr>
          <w:p w14:paraId="4E8FC58E" w14:textId="62547684"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31.6%</w:t>
            </w:r>
          </w:p>
        </w:tc>
        <w:tc>
          <w:tcPr>
            <w:tcW w:w="567" w:type="dxa"/>
            <w:vAlign w:val="center"/>
          </w:tcPr>
          <w:p w14:paraId="7C9AB438" w14:textId="5D5383FD"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w:t>
            </w:r>
          </w:p>
        </w:tc>
        <w:tc>
          <w:tcPr>
            <w:tcW w:w="850" w:type="dxa"/>
            <w:vAlign w:val="center"/>
          </w:tcPr>
          <w:p w14:paraId="5600CE2A" w14:textId="67FB592C"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18.2%</w:t>
            </w:r>
          </w:p>
        </w:tc>
        <w:tc>
          <w:tcPr>
            <w:tcW w:w="567" w:type="dxa"/>
            <w:vAlign w:val="center"/>
          </w:tcPr>
          <w:p w14:paraId="77F20AFB" w14:textId="3098EC24"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1B9C2457" w14:textId="75A7DDE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tcPr>
          <w:p w14:paraId="16E5D5D2" w14:textId="77777777" w:rsidR="00AF605B" w:rsidRPr="004D0C5A" w:rsidRDefault="00AF605B" w:rsidP="00AF605B">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D0C5A" w:rsidRPr="004D0C5A" w14:paraId="57F66949" w14:textId="77777777" w:rsidTr="005D23DC">
        <w:trPr>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4A36154F" w14:textId="77777777" w:rsidR="00AF605B" w:rsidRPr="004D0C5A" w:rsidRDefault="00AF605B" w:rsidP="00AF605B">
            <w:pPr>
              <w:spacing w:line="256" w:lineRule="auto"/>
              <w:jc w:val="center"/>
              <w:rPr>
                <w:rFonts w:ascii="Times New Roman" w:hAnsi="Times New Roman" w:cs="Times New Roman"/>
                <w:b w:val="0"/>
                <w:bCs w:val="0"/>
                <w:sz w:val="20"/>
                <w:szCs w:val="20"/>
              </w:rPr>
            </w:pPr>
          </w:p>
        </w:tc>
        <w:tc>
          <w:tcPr>
            <w:tcW w:w="1183" w:type="dxa"/>
            <w:vAlign w:val="center"/>
          </w:tcPr>
          <w:p w14:paraId="17DC494D" w14:textId="2332089D"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SLE</w:t>
            </w:r>
          </w:p>
        </w:tc>
        <w:tc>
          <w:tcPr>
            <w:tcW w:w="709" w:type="dxa"/>
            <w:vAlign w:val="center"/>
          </w:tcPr>
          <w:p w14:paraId="78F4BB07" w14:textId="51812283"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12</w:t>
            </w:r>
          </w:p>
        </w:tc>
        <w:tc>
          <w:tcPr>
            <w:tcW w:w="850" w:type="dxa"/>
            <w:vAlign w:val="center"/>
          </w:tcPr>
          <w:p w14:paraId="5FB7F440" w14:textId="6215CD43"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60.0%</w:t>
            </w:r>
          </w:p>
        </w:tc>
        <w:tc>
          <w:tcPr>
            <w:tcW w:w="567" w:type="dxa"/>
            <w:vAlign w:val="center"/>
          </w:tcPr>
          <w:p w14:paraId="2F222D11" w14:textId="79705CBA"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4D27BBA4" w14:textId="66A24028"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085673F3" w14:textId="798430A5"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77AADDEE" w14:textId="5F4B1C48"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7110FD8D" w14:textId="5F88D730"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33DC016F" w14:textId="1FB42EE5"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tcPr>
          <w:p w14:paraId="389F7273" w14:textId="77777777" w:rsidR="00AF605B" w:rsidRPr="004D0C5A" w:rsidRDefault="00AF605B"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23DC" w:rsidRPr="004D0C5A" w14:paraId="467D2420" w14:textId="77777777" w:rsidTr="005D23D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26289510" w14:textId="77777777" w:rsidR="00AF605B" w:rsidRPr="004D0C5A" w:rsidRDefault="00AF605B" w:rsidP="00AF605B">
            <w:pPr>
              <w:spacing w:line="256" w:lineRule="auto"/>
              <w:jc w:val="center"/>
              <w:rPr>
                <w:rFonts w:ascii="Times New Roman" w:hAnsi="Times New Roman" w:cs="Times New Roman"/>
                <w:b w:val="0"/>
                <w:bCs w:val="0"/>
                <w:sz w:val="20"/>
                <w:szCs w:val="20"/>
              </w:rPr>
            </w:pPr>
          </w:p>
        </w:tc>
        <w:tc>
          <w:tcPr>
            <w:tcW w:w="1183" w:type="dxa"/>
            <w:vAlign w:val="center"/>
          </w:tcPr>
          <w:p w14:paraId="7DEB4992" w14:textId="2BA51C36"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Unknown</w:t>
            </w:r>
          </w:p>
        </w:tc>
        <w:tc>
          <w:tcPr>
            <w:tcW w:w="709" w:type="dxa"/>
            <w:vAlign w:val="center"/>
          </w:tcPr>
          <w:p w14:paraId="4672602C" w14:textId="26FD5A5A"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2CE054D2" w14:textId="607FFCFE"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3522D827" w14:textId="2919955C"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w:t>
            </w:r>
          </w:p>
        </w:tc>
        <w:tc>
          <w:tcPr>
            <w:tcW w:w="851" w:type="dxa"/>
            <w:vAlign w:val="center"/>
          </w:tcPr>
          <w:p w14:paraId="14CB1E2C" w14:textId="5583B247"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10.5%</w:t>
            </w:r>
          </w:p>
        </w:tc>
        <w:tc>
          <w:tcPr>
            <w:tcW w:w="567" w:type="dxa"/>
            <w:vAlign w:val="center"/>
          </w:tcPr>
          <w:p w14:paraId="4F5134D5" w14:textId="385B2F0D"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w:t>
            </w:r>
          </w:p>
        </w:tc>
        <w:tc>
          <w:tcPr>
            <w:tcW w:w="850" w:type="dxa"/>
            <w:vAlign w:val="center"/>
          </w:tcPr>
          <w:p w14:paraId="7964A7B7" w14:textId="1D28D6B9"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9.1%</w:t>
            </w:r>
          </w:p>
        </w:tc>
        <w:tc>
          <w:tcPr>
            <w:tcW w:w="567" w:type="dxa"/>
            <w:vAlign w:val="center"/>
          </w:tcPr>
          <w:p w14:paraId="25831D9B" w14:textId="42C2383F"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32137C2E" w14:textId="2FF495D7"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tcPr>
          <w:p w14:paraId="1693FDD2" w14:textId="77777777" w:rsidR="00AF605B" w:rsidRPr="004D0C5A" w:rsidRDefault="00AF605B" w:rsidP="00AF605B">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D0C5A" w:rsidRPr="004D0C5A" w14:paraId="0D6E6970" w14:textId="77777777" w:rsidTr="005D23DC">
        <w:trPr>
          <w:trHeight w:val="298"/>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5FCF9E77" w14:textId="77777777" w:rsidR="00AF605B" w:rsidRPr="004D0C5A" w:rsidRDefault="00AF605B" w:rsidP="00AF605B">
            <w:pPr>
              <w:jc w:val="center"/>
              <w:textAlignment w:val="top"/>
              <w:rPr>
                <w:rFonts w:ascii="Times New Roman" w:hAnsi="Times New Roman" w:cs="Times New Roman"/>
                <w:b w:val="0"/>
                <w:bCs w:val="0"/>
                <w:sz w:val="20"/>
                <w:szCs w:val="20"/>
              </w:rPr>
            </w:pPr>
            <w:r w:rsidRPr="004D0C5A">
              <w:rPr>
                <w:rFonts w:ascii="Times New Roman" w:hAnsi="Times New Roman" w:cs="Times New Roman"/>
                <w:sz w:val="20"/>
                <w:szCs w:val="20"/>
              </w:rPr>
              <w:t>Underling disease</w:t>
            </w:r>
          </w:p>
          <w:p w14:paraId="280EE4E9" w14:textId="77777777" w:rsidR="00AF605B" w:rsidRPr="004D0C5A" w:rsidRDefault="00AF605B" w:rsidP="00AF605B">
            <w:pPr>
              <w:spacing w:line="256" w:lineRule="auto"/>
              <w:jc w:val="center"/>
              <w:rPr>
                <w:rFonts w:ascii="Times New Roman" w:hAnsi="Times New Roman" w:cs="Times New Roman"/>
                <w:b w:val="0"/>
                <w:bCs w:val="0"/>
                <w:sz w:val="20"/>
                <w:szCs w:val="20"/>
              </w:rPr>
            </w:pPr>
          </w:p>
        </w:tc>
        <w:tc>
          <w:tcPr>
            <w:tcW w:w="1183" w:type="dxa"/>
            <w:vAlign w:val="center"/>
          </w:tcPr>
          <w:p w14:paraId="5E708B4B" w14:textId="3AFF1E96"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Coronary artery disease</w:t>
            </w:r>
          </w:p>
        </w:tc>
        <w:tc>
          <w:tcPr>
            <w:tcW w:w="709" w:type="dxa"/>
            <w:vAlign w:val="center"/>
          </w:tcPr>
          <w:p w14:paraId="1E9CB57C" w14:textId="684534C9"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7CEB0579" w14:textId="4206EA1F"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5F3DF255" w14:textId="1E507EB5"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w:t>
            </w:r>
          </w:p>
        </w:tc>
        <w:tc>
          <w:tcPr>
            <w:tcW w:w="851" w:type="dxa"/>
            <w:vAlign w:val="center"/>
          </w:tcPr>
          <w:p w14:paraId="66869EFD" w14:textId="11199842"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26.3%</w:t>
            </w:r>
          </w:p>
        </w:tc>
        <w:tc>
          <w:tcPr>
            <w:tcW w:w="567" w:type="dxa"/>
            <w:vAlign w:val="center"/>
          </w:tcPr>
          <w:p w14:paraId="558E3044" w14:textId="1DF2DFCA"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4ADE912C" w14:textId="09800AA0"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5774111C" w14:textId="10243F1F"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1AC14DFE" w14:textId="59963511"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restart"/>
            <w:vAlign w:val="center"/>
          </w:tcPr>
          <w:p w14:paraId="33E2589E" w14:textId="36762C2F" w:rsidR="00AF605B" w:rsidRPr="004D0C5A" w:rsidRDefault="00AF605B"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b/>
                <w:bCs/>
                <w:sz w:val="20"/>
                <w:szCs w:val="20"/>
              </w:rPr>
              <w:t>&lt;0.001**</w:t>
            </w:r>
          </w:p>
        </w:tc>
      </w:tr>
      <w:tr w:rsidR="005D23DC" w:rsidRPr="004D0C5A" w14:paraId="4F6EE56D" w14:textId="77777777" w:rsidTr="005D23D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0EEA4E68" w14:textId="77777777" w:rsidR="00AF605B" w:rsidRPr="004D0C5A" w:rsidRDefault="00AF605B" w:rsidP="00AF605B">
            <w:pPr>
              <w:jc w:val="center"/>
              <w:textAlignment w:val="top"/>
              <w:rPr>
                <w:rFonts w:ascii="Times New Roman" w:hAnsi="Times New Roman" w:cs="Times New Roman"/>
                <w:b w:val="0"/>
                <w:bCs w:val="0"/>
                <w:sz w:val="20"/>
                <w:szCs w:val="20"/>
              </w:rPr>
            </w:pPr>
          </w:p>
        </w:tc>
        <w:tc>
          <w:tcPr>
            <w:tcW w:w="1183" w:type="dxa"/>
            <w:vAlign w:val="center"/>
          </w:tcPr>
          <w:p w14:paraId="4DCEA34D" w14:textId="6C6473EA"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DM</w:t>
            </w:r>
          </w:p>
        </w:tc>
        <w:tc>
          <w:tcPr>
            <w:tcW w:w="709" w:type="dxa"/>
            <w:vAlign w:val="center"/>
          </w:tcPr>
          <w:p w14:paraId="0B5BB1AB" w14:textId="64BFD8BC"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8</w:t>
            </w:r>
          </w:p>
        </w:tc>
        <w:tc>
          <w:tcPr>
            <w:tcW w:w="850" w:type="dxa"/>
            <w:vAlign w:val="center"/>
          </w:tcPr>
          <w:p w14:paraId="57BBA7CA" w14:textId="2EEA8089"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40.0%</w:t>
            </w:r>
          </w:p>
        </w:tc>
        <w:tc>
          <w:tcPr>
            <w:tcW w:w="567" w:type="dxa"/>
            <w:vAlign w:val="center"/>
          </w:tcPr>
          <w:p w14:paraId="5520D2D6" w14:textId="7551D23F"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67454F81" w14:textId="5EFBA9D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6907FA0D" w14:textId="77B010D8"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7210BE07" w14:textId="388329F4"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075715AC" w14:textId="1AED364E"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32E7162A" w14:textId="19491ED0"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tcPr>
          <w:p w14:paraId="461FDD05" w14:textId="77777777" w:rsidR="00AF605B" w:rsidRPr="004D0C5A" w:rsidRDefault="00AF605B" w:rsidP="00AF605B">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D0C5A" w:rsidRPr="004D0C5A" w14:paraId="15E0DE2A" w14:textId="77777777" w:rsidTr="005D23DC">
        <w:trPr>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06BED7C1" w14:textId="77777777" w:rsidR="00AF605B" w:rsidRPr="004D0C5A" w:rsidRDefault="00AF605B" w:rsidP="00AF605B">
            <w:pPr>
              <w:jc w:val="center"/>
              <w:textAlignment w:val="top"/>
              <w:rPr>
                <w:rFonts w:ascii="Times New Roman" w:hAnsi="Times New Roman" w:cs="Times New Roman"/>
                <w:b w:val="0"/>
                <w:bCs w:val="0"/>
                <w:sz w:val="20"/>
                <w:szCs w:val="20"/>
              </w:rPr>
            </w:pPr>
          </w:p>
        </w:tc>
        <w:tc>
          <w:tcPr>
            <w:tcW w:w="1183" w:type="dxa"/>
            <w:vAlign w:val="center"/>
          </w:tcPr>
          <w:p w14:paraId="6267B245" w14:textId="6EB7ABC6"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 xml:space="preserve">DM and </w:t>
            </w:r>
            <w:proofErr w:type="spellStart"/>
            <w:r w:rsidRPr="004D0C5A">
              <w:rPr>
                <w:rFonts w:ascii="Times New Roman" w:hAnsi="Times New Roman" w:cs="Times New Roman"/>
                <w:b/>
                <w:bCs/>
                <w:sz w:val="20"/>
                <w:szCs w:val="20"/>
              </w:rPr>
              <w:t>hyperlipidemia</w:t>
            </w:r>
            <w:proofErr w:type="spellEnd"/>
          </w:p>
        </w:tc>
        <w:tc>
          <w:tcPr>
            <w:tcW w:w="709" w:type="dxa"/>
            <w:vAlign w:val="center"/>
          </w:tcPr>
          <w:p w14:paraId="3F2EF2E2" w14:textId="1745C5D1"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w:t>
            </w:r>
          </w:p>
        </w:tc>
        <w:tc>
          <w:tcPr>
            <w:tcW w:w="850" w:type="dxa"/>
            <w:vAlign w:val="center"/>
          </w:tcPr>
          <w:p w14:paraId="07289E93" w14:textId="6AC29234"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20.0%</w:t>
            </w:r>
          </w:p>
        </w:tc>
        <w:tc>
          <w:tcPr>
            <w:tcW w:w="567" w:type="dxa"/>
            <w:vAlign w:val="center"/>
          </w:tcPr>
          <w:p w14:paraId="3C58120B" w14:textId="456FC655"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19B90305" w14:textId="6C1884DE"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69B5942E" w14:textId="03AE1843"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76029FD8" w14:textId="48E56D20"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5DBB1A54" w14:textId="2498339A"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1" w:type="dxa"/>
            <w:vAlign w:val="center"/>
          </w:tcPr>
          <w:p w14:paraId="6DEDE1E7" w14:textId="7E005FA7"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1703" w:type="dxa"/>
            <w:vMerge/>
            <w:vAlign w:val="center"/>
          </w:tcPr>
          <w:p w14:paraId="58F6F9FA" w14:textId="77777777" w:rsidR="00AF605B" w:rsidRPr="004D0C5A" w:rsidRDefault="00AF605B"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D23DC" w:rsidRPr="004D0C5A" w14:paraId="31A21971" w14:textId="77777777" w:rsidTr="005D23D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1D18A86C" w14:textId="77777777" w:rsidR="00AF605B" w:rsidRPr="004D0C5A" w:rsidRDefault="00AF605B" w:rsidP="00AF605B">
            <w:pPr>
              <w:jc w:val="center"/>
              <w:textAlignment w:val="top"/>
              <w:rPr>
                <w:rFonts w:ascii="Times New Roman" w:hAnsi="Times New Roman" w:cs="Times New Roman"/>
                <w:b w:val="0"/>
                <w:bCs w:val="0"/>
                <w:sz w:val="20"/>
                <w:szCs w:val="20"/>
              </w:rPr>
            </w:pPr>
          </w:p>
        </w:tc>
        <w:tc>
          <w:tcPr>
            <w:tcW w:w="1183" w:type="dxa"/>
            <w:vAlign w:val="center"/>
          </w:tcPr>
          <w:p w14:paraId="5601EC0F" w14:textId="32B6DB1E"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0C5A">
              <w:rPr>
                <w:rFonts w:ascii="Times New Roman" w:hAnsi="Times New Roman" w:cs="Times New Roman"/>
                <w:b/>
                <w:bCs/>
                <w:sz w:val="20"/>
                <w:szCs w:val="20"/>
              </w:rPr>
              <w:t>HTN</w:t>
            </w:r>
          </w:p>
        </w:tc>
        <w:tc>
          <w:tcPr>
            <w:tcW w:w="709" w:type="dxa"/>
            <w:vAlign w:val="center"/>
          </w:tcPr>
          <w:p w14:paraId="22C9D777" w14:textId="2C00EA49"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8</w:t>
            </w:r>
          </w:p>
        </w:tc>
        <w:tc>
          <w:tcPr>
            <w:tcW w:w="850" w:type="dxa"/>
            <w:vAlign w:val="center"/>
          </w:tcPr>
          <w:p w14:paraId="345BA5CE" w14:textId="3A28CAF0"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40.0%</w:t>
            </w:r>
          </w:p>
        </w:tc>
        <w:tc>
          <w:tcPr>
            <w:tcW w:w="567" w:type="dxa"/>
            <w:vAlign w:val="center"/>
          </w:tcPr>
          <w:p w14:paraId="3AF4A4CE" w14:textId="49FE198D"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14</w:t>
            </w:r>
          </w:p>
        </w:tc>
        <w:tc>
          <w:tcPr>
            <w:tcW w:w="851" w:type="dxa"/>
            <w:vAlign w:val="center"/>
          </w:tcPr>
          <w:p w14:paraId="56634BED" w14:textId="34271130"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36.8%</w:t>
            </w:r>
          </w:p>
        </w:tc>
        <w:tc>
          <w:tcPr>
            <w:tcW w:w="567" w:type="dxa"/>
            <w:vAlign w:val="center"/>
          </w:tcPr>
          <w:p w14:paraId="3A649BD0" w14:textId="59CB258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12</w:t>
            </w:r>
          </w:p>
        </w:tc>
        <w:tc>
          <w:tcPr>
            <w:tcW w:w="850" w:type="dxa"/>
            <w:vAlign w:val="center"/>
          </w:tcPr>
          <w:p w14:paraId="40BA56CD" w14:textId="616C2DC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54.5%</w:t>
            </w:r>
          </w:p>
        </w:tc>
        <w:tc>
          <w:tcPr>
            <w:tcW w:w="567" w:type="dxa"/>
            <w:vAlign w:val="center"/>
          </w:tcPr>
          <w:p w14:paraId="47A0C0F4" w14:textId="0E25BEF5"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w:t>
            </w:r>
          </w:p>
        </w:tc>
        <w:tc>
          <w:tcPr>
            <w:tcW w:w="851" w:type="dxa"/>
            <w:vAlign w:val="center"/>
          </w:tcPr>
          <w:p w14:paraId="7D17193E" w14:textId="591B7A4B" w:rsidR="00AF605B" w:rsidRPr="004D0C5A" w:rsidRDefault="00AF605B" w:rsidP="00AF605B">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50.0%</w:t>
            </w:r>
          </w:p>
        </w:tc>
        <w:tc>
          <w:tcPr>
            <w:tcW w:w="1703" w:type="dxa"/>
            <w:vMerge/>
            <w:vAlign w:val="center"/>
          </w:tcPr>
          <w:p w14:paraId="2CE39399" w14:textId="77777777" w:rsidR="00AF605B" w:rsidRPr="004D0C5A" w:rsidRDefault="00AF605B" w:rsidP="00AF605B">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D0C5A" w:rsidRPr="004D0C5A" w14:paraId="2123750F" w14:textId="77777777" w:rsidTr="005D23DC">
        <w:trPr>
          <w:trHeight w:val="298"/>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50186C4F" w14:textId="77777777" w:rsidR="00AF605B" w:rsidRPr="004D0C5A" w:rsidRDefault="00AF605B" w:rsidP="00AF605B">
            <w:pPr>
              <w:jc w:val="center"/>
              <w:textAlignment w:val="top"/>
              <w:rPr>
                <w:rFonts w:ascii="Times New Roman" w:hAnsi="Times New Roman" w:cs="Times New Roman"/>
                <w:b w:val="0"/>
                <w:bCs w:val="0"/>
                <w:sz w:val="20"/>
                <w:szCs w:val="20"/>
              </w:rPr>
            </w:pPr>
          </w:p>
        </w:tc>
        <w:tc>
          <w:tcPr>
            <w:tcW w:w="1183" w:type="dxa"/>
            <w:vAlign w:val="center"/>
          </w:tcPr>
          <w:p w14:paraId="53FFF48E" w14:textId="78381177"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sidRPr="004D0C5A">
              <w:rPr>
                <w:rFonts w:ascii="Times New Roman" w:hAnsi="Times New Roman" w:cs="Times New Roman"/>
                <w:b/>
                <w:bCs/>
                <w:sz w:val="20"/>
                <w:szCs w:val="20"/>
              </w:rPr>
              <w:t>Hyperlipidemia</w:t>
            </w:r>
            <w:proofErr w:type="spellEnd"/>
          </w:p>
        </w:tc>
        <w:tc>
          <w:tcPr>
            <w:tcW w:w="709" w:type="dxa"/>
            <w:vAlign w:val="center"/>
          </w:tcPr>
          <w:p w14:paraId="1D55CDF8" w14:textId="28DB4D91"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w:t>
            </w:r>
          </w:p>
        </w:tc>
        <w:tc>
          <w:tcPr>
            <w:tcW w:w="850" w:type="dxa"/>
            <w:vAlign w:val="center"/>
          </w:tcPr>
          <w:p w14:paraId="7FCB6986" w14:textId="003B850D"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0.0%</w:t>
            </w:r>
          </w:p>
        </w:tc>
        <w:tc>
          <w:tcPr>
            <w:tcW w:w="567" w:type="dxa"/>
            <w:vAlign w:val="center"/>
          </w:tcPr>
          <w:p w14:paraId="399C2FFE" w14:textId="066C013E"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10</w:t>
            </w:r>
          </w:p>
        </w:tc>
        <w:tc>
          <w:tcPr>
            <w:tcW w:w="851" w:type="dxa"/>
            <w:vAlign w:val="center"/>
          </w:tcPr>
          <w:p w14:paraId="37E9F5EC" w14:textId="78785FDE"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26.3%</w:t>
            </w:r>
          </w:p>
        </w:tc>
        <w:tc>
          <w:tcPr>
            <w:tcW w:w="567" w:type="dxa"/>
            <w:vAlign w:val="center"/>
          </w:tcPr>
          <w:p w14:paraId="258C1FA0" w14:textId="3D02C6A3"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6</w:t>
            </w:r>
          </w:p>
        </w:tc>
        <w:tc>
          <w:tcPr>
            <w:tcW w:w="850" w:type="dxa"/>
            <w:vAlign w:val="center"/>
          </w:tcPr>
          <w:p w14:paraId="0BA5FC25" w14:textId="2E8B3FFF"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27.3%</w:t>
            </w:r>
          </w:p>
        </w:tc>
        <w:tc>
          <w:tcPr>
            <w:tcW w:w="567" w:type="dxa"/>
            <w:vAlign w:val="center"/>
          </w:tcPr>
          <w:p w14:paraId="79C6C1B3" w14:textId="2F22D8E1"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4</w:t>
            </w:r>
          </w:p>
        </w:tc>
        <w:tc>
          <w:tcPr>
            <w:tcW w:w="851" w:type="dxa"/>
            <w:vAlign w:val="center"/>
          </w:tcPr>
          <w:p w14:paraId="5901DAF3" w14:textId="66E6EEE7" w:rsidR="00AF605B" w:rsidRPr="004D0C5A" w:rsidRDefault="00AF605B" w:rsidP="00AF605B">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C5A">
              <w:rPr>
                <w:rFonts w:ascii="Times New Roman" w:hAnsi="Times New Roman" w:cs="Times New Roman"/>
                <w:sz w:val="20"/>
                <w:szCs w:val="20"/>
              </w:rPr>
              <w:t>20.0%</w:t>
            </w:r>
          </w:p>
        </w:tc>
        <w:tc>
          <w:tcPr>
            <w:tcW w:w="1703" w:type="dxa"/>
            <w:vMerge/>
            <w:vAlign w:val="center"/>
          </w:tcPr>
          <w:p w14:paraId="33A0211F" w14:textId="77777777" w:rsidR="00AF605B" w:rsidRPr="004D0C5A" w:rsidRDefault="00AF605B" w:rsidP="00AF605B">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bookmarkEnd w:id="12"/>
      <w:tr w:rsidR="004D0C5A" w:rsidRPr="004D0C5A" w14:paraId="78D06483"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35C63155" w14:textId="77777777" w:rsidR="00AF605B" w:rsidRPr="004D0C5A" w:rsidRDefault="00AF605B" w:rsidP="00AF605B">
            <w:pPr>
              <w:jc w:val="center"/>
              <w:textAlignment w:val="top"/>
              <w:rPr>
                <w:rFonts w:asciiTheme="majorBidi" w:hAnsiTheme="majorBidi" w:cstheme="majorBidi"/>
                <w:sz w:val="20"/>
                <w:szCs w:val="20"/>
              </w:rPr>
            </w:pPr>
            <w:r w:rsidRPr="004D0C5A">
              <w:rPr>
                <w:rFonts w:asciiTheme="majorBidi" w:hAnsiTheme="majorBidi" w:cstheme="majorBidi"/>
                <w:sz w:val="20"/>
                <w:szCs w:val="20"/>
              </w:rPr>
              <w:t>Items</w:t>
            </w:r>
          </w:p>
        </w:tc>
        <w:tc>
          <w:tcPr>
            <w:tcW w:w="1183" w:type="dxa"/>
            <w:vAlign w:val="center"/>
          </w:tcPr>
          <w:p w14:paraId="0F5F63DF"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Groups</w:t>
            </w:r>
          </w:p>
        </w:tc>
        <w:tc>
          <w:tcPr>
            <w:tcW w:w="709" w:type="dxa"/>
            <w:vAlign w:val="center"/>
          </w:tcPr>
          <w:p w14:paraId="59871B41"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Mean</w:t>
            </w:r>
          </w:p>
        </w:tc>
        <w:tc>
          <w:tcPr>
            <w:tcW w:w="850" w:type="dxa"/>
            <w:vAlign w:val="center"/>
          </w:tcPr>
          <w:p w14:paraId="2F2D8420"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 SD</w:t>
            </w:r>
          </w:p>
        </w:tc>
        <w:tc>
          <w:tcPr>
            <w:tcW w:w="1418" w:type="dxa"/>
            <w:gridSpan w:val="2"/>
            <w:vAlign w:val="center"/>
          </w:tcPr>
          <w:p w14:paraId="00328E9B"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Median</w:t>
            </w:r>
          </w:p>
        </w:tc>
        <w:tc>
          <w:tcPr>
            <w:tcW w:w="1417" w:type="dxa"/>
            <w:gridSpan w:val="2"/>
            <w:vAlign w:val="center"/>
          </w:tcPr>
          <w:p w14:paraId="2E956EA8"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IQR</w:t>
            </w:r>
          </w:p>
        </w:tc>
        <w:tc>
          <w:tcPr>
            <w:tcW w:w="1418" w:type="dxa"/>
            <w:gridSpan w:val="2"/>
            <w:vAlign w:val="center"/>
          </w:tcPr>
          <w:p w14:paraId="35C2EC2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Range</w:t>
            </w:r>
          </w:p>
        </w:tc>
        <w:tc>
          <w:tcPr>
            <w:tcW w:w="1703" w:type="dxa"/>
            <w:vAlign w:val="center"/>
          </w:tcPr>
          <w:p w14:paraId="11EAD3E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P-value</w:t>
            </w:r>
          </w:p>
        </w:tc>
      </w:tr>
      <w:tr w:rsidR="00AF605B" w:rsidRPr="004D0C5A" w14:paraId="3D0F2BFE"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6DACF1BE" w14:textId="77777777" w:rsidR="00AF605B" w:rsidRPr="004D0C5A" w:rsidRDefault="00AF605B" w:rsidP="00AF605B">
            <w:pPr>
              <w:jc w:val="center"/>
              <w:textAlignment w:val="top"/>
              <w:rPr>
                <w:rFonts w:asciiTheme="majorBidi" w:hAnsiTheme="majorBidi" w:cstheme="majorBidi"/>
                <w:sz w:val="20"/>
                <w:szCs w:val="20"/>
              </w:rPr>
            </w:pPr>
            <w:r w:rsidRPr="004D0C5A">
              <w:rPr>
                <w:rFonts w:asciiTheme="majorBidi" w:hAnsiTheme="majorBidi" w:cstheme="majorBidi"/>
                <w:sz w:val="20"/>
                <w:szCs w:val="20"/>
              </w:rPr>
              <w:t>Hemodialysis duration</w:t>
            </w:r>
          </w:p>
        </w:tc>
        <w:tc>
          <w:tcPr>
            <w:tcW w:w="1183" w:type="dxa"/>
            <w:vAlign w:val="center"/>
          </w:tcPr>
          <w:p w14:paraId="1EC3057B"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G1&lt;1</w:t>
            </w:r>
          </w:p>
        </w:tc>
        <w:tc>
          <w:tcPr>
            <w:tcW w:w="709" w:type="dxa"/>
            <w:vAlign w:val="center"/>
          </w:tcPr>
          <w:p w14:paraId="3AB5F21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4.5</w:t>
            </w:r>
          </w:p>
        </w:tc>
        <w:tc>
          <w:tcPr>
            <w:tcW w:w="850" w:type="dxa"/>
            <w:vAlign w:val="center"/>
          </w:tcPr>
          <w:p w14:paraId="7115FF6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3.0</w:t>
            </w:r>
          </w:p>
        </w:tc>
        <w:tc>
          <w:tcPr>
            <w:tcW w:w="1418" w:type="dxa"/>
            <w:gridSpan w:val="2"/>
            <w:vAlign w:val="center"/>
          </w:tcPr>
          <w:p w14:paraId="73F2F298"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6.0</w:t>
            </w:r>
          </w:p>
        </w:tc>
        <w:tc>
          <w:tcPr>
            <w:tcW w:w="1417" w:type="dxa"/>
            <w:gridSpan w:val="2"/>
            <w:vAlign w:val="center"/>
          </w:tcPr>
          <w:p w14:paraId="4A51A0A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2.0</w:t>
            </w:r>
          </w:p>
        </w:tc>
        <w:tc>
          <w:tcPr>
            <w:tcW w:w="1418" w:type="dxa"/>
            <w:gridSpan w:val="2"/>
            <w:vAlign w:val="center"/>
          </w:tcPr>
          <w:p w14:paraId="388C6AF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8.0</w:t>
            </w:r>
          </w:p>
        </w:tc>
        <w:tc>
          <w:tcPr>
            <w:tcW w:w="1703" w:type="dxa"/>
            <w:vMerge w:val="restart"/>
            <w:vAlign w:val="center"/>
          </w:tcPr>
          <w:p w14:paraId="7DEFCF08"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&lt;0.001**</w:t>
            </w:r>
          </w:p>
          <w:p w14:paraId="73E64F2D" w14:textId="602BB570"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1-2</w:t>
            </w:r>
            <w:r w:rsidRPr="004D0C5A">
              <w:rPr>
                <w:rFonts w:asciiTheme="majorBidi" w:hAnsiTheme="majorBidi" w:cstheme="majorBidi"/>
                <w:sz w:val="20"/>
                <w:szCs w:val="20"/>
              </w:rPr>
              <w:t>=0.840</w:t>
            </w:r>
          </w:p>
          <w:p w14:paraId="6578797E"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1-3</w:t>
            </w:r>
            <w:r w:rsidRPr="004D0C5A">
              <w:rPr>
                <w:rFonts w:asciiTheme="majorBidi" w:hAnsiTheme="majorBidi" w:cstheme="majorBidi"/>
                <w:b/>
                <w:bCs/>
                <w:sz w:val="20"/>
                <w:szCs w:val="20"/>
              </w:rPr>
              <w:t>&lt;0.001</w:t>
            </w:r>
          </w:p>
          <w:p w14:paraId="59D9B242"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1-4</w:t>
            </w:r>
            <w:r w:rsidRPr="004D0C5A">
              <w:rPr>
                <w:rFonts w:asciiTheme="majorBidi" w:hAnsiTheme="majorBidi" w:cstheme="majorBidi"/>
                <w:b/>
                <w:bCs/>
                <w:sz w:val="20"/>
                <w:szCs w:val="20"/>
              </w:rPr>
              <w:t>&lt;0.001</w:t>
            </w:r>
          </w:p>
          <w:p w14:paraId="0F9885D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2-3</w:t>
            </w:r>
            <w:r w:rsidRPr="004D0C5A">
              <w:rPr>
                <w:rFonts w:asciiTheme="majorBidi" w:hAnsiTheme="majorBidi" w:cstheme="majorBidi"/>
                <w:b/>
                <w:bCs/>
                <w:sz w:val="20"/>
                <w:szCs w:val="20"/>
              </w:rPr>
              <w:t>&lt;0.001</w:t>
            </w:r>
          </w:p>
          <w:p w14:paraId="69543AB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2-4</w:t>
            </w:r>
            <w:r w:rsidRPr="004D0C5A">
              <w:rPr>
                <w:rFonts w:asciiTheme="majorBidi" w:hAnsiTheme="majorBidi" w:cstheme="majorBidi"/>
                <w:b/>
                <w:bCs/>
                <w:sz w:val="20"/>
                <w:szCs w:val="20"/>
              </w:rPr>
              <w:t>&lt;0.001</w:t>
            </w:r>
          </w:p>
          <w:p w14:paraId="5F5E3B2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3-4</w:t>
            </w:r>
            <w:r w:rsidRPr="004D0C5A">
              <w:rPr>
                <w:rFonts w:asciiTheme="majorBidi" w:hAnsiTheme="majorBidi" w:cstheme="majorBidi"/>
                <w:sz w:val="20"/>
                <w:szCs w:val="20"/>
              </w:rPr>
              <w:t>=0.126</w:t>
            </w:r>
          </w:p>
        </w:tc>
      </w:tr>
      <w:tr w:rsidR="004D0C5A" w:rsidRPr="004D0C5A" w14:paraId="2797C810"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0A17824C"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42EE5AF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G2 1- &lt;1.1</w:t>
            </w:r>
          </w:p>
        </w:tc>
        <w:tc>
          <w:tcPr>
            <w:tcW w:w="709" w:type="dxa"/>
            <w:vAlign w:val="center"/>
          </w:tcPr>
          <w:p w14:paraId="4D24F998"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6.0</w:t>
            </w:r>
          </w:p>
        </w:tc>
        <w:tc>
          <w:tcPr>
            <w:tcW w:w="850" w:type="dxa"/>
            <w:vAlign w:val="center"/>
          </w:tcPr>
          <w:p w14:paraId="1E880EB8"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8" w:type="dxa"/>
            <w:gridSpan w:val="2"/>
            <w:vAlign w:val="center"/>
          </w:tcPr>
          <w:p w14:paraId="64A95BCB"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7.0</w:t>
            </w:r>
          </w:p>
        </w:tc>
        <w:tc>
          <w:tcPr>
            <w:tcW w:w="1417" w:type="dxa"/>
            <w:gridSpan w:val="2"/>
            <w:vAlign w:val="center"/>
          </w:tcPr>
          <w:p w14:paraId="5033685E"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3.0</w:t>
            </w:r>
          </w:p>
        </w:tc>
        <w:tc>
          <w:tcPr>
            <w:tcW w:w="1418" w:type="dxa"/>
            <w:gridSpan w:val="2"/>
            <w:vAlign w:val="center"/>
          </w:tcPr>
          <w:p w14:paraId="5F37AE05"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9.0</w:t>
            </w:r>
          </w:p>
        </w:tc>
        <w:tc>
          <w:tcPr>
            <w:tcW w:w="1703" w:type="dxa"/>
            <w:vMerge/>
            <w:vAlign w:val="center"/>
          </w:tcPr>
          <w:p w14:paraId="761BE7C8"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69CA32EC"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04E2D094"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0C686B2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G3 1.1- &lt;1.2</w:t>
            </w:r>
          </w:p>
        </w:tc>
        <w:tc>
          <w:tcPr>
            <w:tcW w:w="709" w:type="dxa"/>
            <w:vAlign w:val="center"/>
          </w:tcPr>
          <w:p w14:paraId="1CE453A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9.0</w:t>
            </w:r>
          </w:p>
        </w:tc>
        <w:tc>
          <w:tcPr>
            <w:tcW w:w="850" w:type="dxa"/>
            <w:vAlign w:val="center"/>
          </w:tcPr>
          <w:p w14:paraId="7E6ABB68"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8.0</w:t>
            </w:r>
          </w:p>
        </w:tc>
        <w:tc>
          <w:tcPr>
            <w:tcW w:w="1418" w:type="dxa"/>
            <w:gridSpan w:val="2"/>
            <w:vAlign w:val="center"/>
          </w:tcPr>
          <w:p w14:paraId="5FA4816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11.0</w:t>
            </w:r>
          </w:p>
        </w:tc>
        <w:tc>
          <w:tcPr>
            <w:tcW w:w="1417" w:type="dxa"/>
            <w:gridSpan w:val="2"/>
            <w:vAlign w:val="center"/>
          </w:tcPr>
          <w:p w14:paraId="45048F8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8" w:type="dxa"/>
            <w:gridSpan w:val="2"/>
            <w:vAlign w:val="center"/>
          </w:tcPr>
          <w:p w14:paraId="5B0207D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13.0</w:t>
            </w:r>
          </w:p>
        </w:tc>
        <w:tc>
          <w:tcPr>
            <w:tcW w:w="1703" w:type="dxa"/>
            <w:vMerge/>
            <w:vAlign w:val="center"/>
          </w:tcPr>
          <w:p w14:paraId="77F414A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p>
        </w:tc>
      </w:tr>
      <w:tr w:rsidR="004D0C5A" w:rsidRPr="004D0C5A" w14:paraId="0A4ACBB2"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0D106E2A"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4A5F0059"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G4 ≥1.2</w:t>
            </w:r>
          </w:p>
        </w:tc>
        <w:tc>
          <w:tcPr>
            <w:tcW w:w="709" w:type="dxa"/>
            <w:vAlign w:val="center"/>
          </w:tcPr>
          <w:p w14:paraId="399D2DED"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12.0</w:t>
            </w:r>
          </w:p>
        </w:tc>
        <w:tc>
          <w:tcPr>
            <w:tcW w:w="850" w:type="dxa"/>
            <w:vAlign w:val="center"/>
          </w:tcPr>
          <w:p w14:paraId="5DF79D89"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11.0</w:t>
            </w:r>
          </w:p>
        </w:tc>
        <w:tc>
          <w:tcPr>
            <w:tcW w:w="1418" w:type="dxa"/>
            <w:gridSpan w:val="2"/>
            <w:vAlign w:val="center"/>
          </w:tcPr>
          <w:p w14:paraId="7F6372B2"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13.0</w:t>
            </w:r>
          </w:p>
        </w:tc>
        <w:tc>
          <w:tcPr>
            <w:tcW w:w="1417" w:type="dxa"/>
            <w:gridSpan w:val="2"/>
            <w:vAlign w:val="center"/>
          </w:tcPr>
          <w:p w14:paraId="25342661"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10.0</w:t>
            </w:r>
          </w:p>
        </w:tc>
        <w:tc>
          <w:tcPr>
            <w:tcW w:w="1418" w:type="dxa"/>
            <w:gridSpan w:val="2"/>
            <w:vAlign w:val="center"/>
          </w:tcPr>
          <w:p w14:paraId="5CB119B3"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14.0</w:t>
            </w:r>
          </w:p>
        </w:tc>
        <w:tc>
          <w:tcPr>
            <w:tcW w:w="1703" w:type="dxa"/>
            <w:vMerge/>
            <w:vAlign w:val="center"/>
          </w:tcPr>
          <w:p w14:paraId="1133C64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7440381D"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727511BA" w14:textId="77777777" w:rsidR="00AF605B" w:rsidRPr="004D0C5A" w:rsidRDefault="00AF605B" w:rsidP="00AF605B">
            <w:pPr>
              <w:jc w:val="center"/>
              <w:textAlignment w:val="top"/>
              <w:rPr>
                <w:rFonts w:asciiTheme="majorBidi" w:hAnsiTheme="majorBidi" w:cstheme="majorBidi"/>
                <w:b w:val="0"/>
                <w:bCs w:val="0"/>
                <w:sz w:val="20"/>
                <w:szCs w:val="20"/>
              </w:rPr>
            </w:pPr>
            <w:r w:rsidRPr="004D0C5A">
              <w:rPr>
                <w:rFonts w:asciiTheme="majorBidi" w:hAnsiTheme="majorBidi" w:cstheme="majorBidi"/>
                <w:sz w:val="20"/>
                <w:szCs w:val="20"/>
              </w:rPr>
              <w:t>Post-dialysis weight loss</w:t>
            </w:r>
          </w:p>
        </w:tc>
        <w:tc>
          <w:tcPr>
            <w:tcW w:w="1183" w:type="dxa"/>
            <w:vAlign w:val="center"/>
          </w:tcPr>
          <w:p w14:paraId="1035F0E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G1&lt;1</w:t>
            </w:r>
          </w:p>
        </w:tc>
        <w:tc>
          <w:tcPr>
            <w:tcW w:w="709" w:type="dxa"/>
            <w:vAlign w:val="center"/>
          </w:tcPr>
          <w:p w14:paraId="006789C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1.5</w:t>
            </w:r>
          </w:p>
        </w:tc>
        <w:tc>
          <w:tcPr>
            <w:tcW w:w="850" w:type="dxa"/>
            <w:vAlign w:val="center"/>
          </w:tcPr>
          <w:p w14:paraId="1F1DC2E2"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w:t>
            </w:r>
          </w:p>
        </w:tc>
        <w:tc>
          <w:tcPr>
            <w:tcW w:w="1418" w:type="dxa"/>
            <w:gridSpan w:val="2"/>
            <w:vAlign w:val="center"/>
          </w:tcPr>
          <w:p w14:paraId="53CA09EE"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1.5</w:t>
            </w:r>
          </w:p>
        </w:tc>
        <w:tc>
          <w:tcPr>
            <w:tcW w:w="1417" w:type="dxa"/>
            <w:gridSpan w:val="2"/>
            <w:vAlign w:val="center"/>
          </w:tcPr>
          <w:p w14:paraId="08EBCFA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w:t>
            </w:r>
          </w:p>
        </w:tc>
        <w:tc>
          <w:tcPr>
            <w:tcW w:w="1418" w:type="dxa"/>
            <w:gridSpan w:val="2"/>
            <w:vAlign w:val="center"/>
          </w:tcPr>
          <w:p w14:paraId="598AB5A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1.5</w:t>
            </w:r>
          </w:p>
        </w:tc>
        <w:tc>
          <w:tcPr>
            <w:tcW w:w="1703" w:type="dxa"/>
            <w:vMerge w:val="restart"/>
            <w:vAlign w:val="center"/>
          </w:tcPr>
          <w:p w14:paraId="39679C0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&lt;0.001**</w:t>
            </w:r>
          </w:p>
          <w:p w14:paraId="56D9F357" w14:textId="07DC62A2"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1-2</w:t>
            </w:r>
            <w:r w:rsidRPr="004D0C5A">
              <w:rPr>
                <w:rFonts w:asciiTheme="majorBidi" w:hAnsiTheme="majorBidi" w:cstheme="majorBidi"/>
                <w:sz w:val="20"/>
                <w:szCs w:val="20"/>
              </w:rPr>
              <w:t>=0.073</w:t>
            </w:r>
          </w:p>
          <w:p w14:paraId="025923EE"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1-3</w:t>
            </w:r>
            <w:r w:rsidRPr="004D0C5A">
              <w:rPr>
                <w:rFonts w:asciiTheme="majorBidi" w:hAnsiTheme="majorBidi" w:cstheme="majorBidi"/>
                <w:b/>
                <w:bCs/>
                <w:sz w:val="20"/>
                <w:szCs w:val="20"/>
              </w:rPr>
              <w:t>&lt;0.001</w:t>
            </w:r>
          </w:p>
          <w:p w14:paraId="30C4145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1-4</w:t>
            </w:r>
            <w:r w:rsidRPr="004D0C5A">
              <w:rPr>
                <w:rFonts w:asciiTheme="majorBidi" w:hAnsiTheme="majorBidi" w:cstheme="majorBidi"/>
                <w:b/>
                <w:bCs/>
                <w:sz w:val="20"/>
                <w:szCs w:val="20"/>
              </w:rPr>
              <w:t>&lt;0.001</w:t>
            </w:r>
          </w:p>
          <w:p w14:paraId="6D4D0DE5"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lastRenderedPageBreak/>
              <w:t>P</w:t>
            </w:r>
            <w:r w:rsidRPr="004D0C5A">
              <w:rPr>
                <w:rFonts w:asciiTheme="majorBidi" w:hAnsiTheme="majorBidi" w:cstheme="majorBidi"/>
                <w:sz w:val="20"/>
                <w:szCs w:val="20"/>
                <w:vertAlign w:val="subscript"/>
              </w:rPr>
              <w:t>2-3</w:t>
            </w:r>
            <w:r w:rsidRPr="004D0C5A">
              <w:rPr>
                <w:rFonts w:asciiTheme="majorBidi" w:hAnsiTheme="majorBidi" w:cstheme="majorBidi"/>
                <w:b/>
                <w:bCs/>
                <w:sz w:val="20"/>
                <w:szCs w:val="20"/>
              </w:rPr>
              <w:t>=0.001</w:t>
            </w:r>
          </w:p>
          <w:p w14:paraId="401AF53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2-4</w:t>
            </w:r>
            <w:r w:rsidRPr="004D0C5A">
              <w:rPr>
                <w:rFonts w:asciiTheme="majorBidi" w:hAnsiTheme="majorBidi" w:cstheme="majorBidi"/>
                <w:b/>
                <w:bCs/>
                <w:sz w:val="20"/>
                <w:szCs w:val="20"/>
              </w:rPr>
              <w:t>&lt;0.001</w:t>
            </w:r>
          </w:p>
          <w:p w14:paraId="653D1AF6"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3-4</w:t>
            </w:r>
            <w:r w:rsidRPr="004D0C5A">
              <w:rPr>
                <w:rFonts w:asciiTheme="majorBidi" w:hAnsiTheme="majorBidi" w:cstheme="majorBidi"/>
                <w:sz w:val="20"/>
                <w:szCs w:val="20"/>
              </w:rPr>
              <w:t>=0.189</w:t>
            </w:r>
          </w:p>
        </w:tc>
      </w:tr>
      <w:tr w:rsidR="004D0C5A" w:rsidRPr="004D0C5A" w14:paraId="2EDC8B16"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5EB5AE30"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7AE858CD"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G2 1- &lt;1.1</w:t>
            </w:r>
          </w:p>
        </w:tc>
        <w:tc>
          <w:tcPr>
            <w:tcW w:w="709" w:type="dxa"/>
            <w:vAlign w:val="center"/>
          </w:tcPr>
          <w:p w14:paraId="3EA3A9DB"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2.5</w:t>
            </w:r>
          </w:p>
        </w:tc>
        <w:tc>
          <w:tcPr>
            <w:tcW w:w="850" w:type="dxa"/>
            <w:vAlign w:val="center"/>
          </w:tcPr>
          <w:p w14:paraId="27B81A4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2.0</w:t>
            </w:r>
          </w:p>
        </w:tc>
        <w:tc>
          <w:tcPr>
            <w:tcW w:w="1418" w:type="dxa"/>
            <w:gridSpan w:val="2"/>
            <w:vAlign w:val="center"/>
          </w:tcPr>
          <w:p w14:paraId="5CD559A7"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3.5</w:t>
            </w:r>
          </w:p>
        </w:tc>
        <w:tc>
          <w:tcPr>
            <w:tcW w:w="1417" w:type="dxa"/>
            <w:gridSpan w:val="2"/>
            <w:vAlign w:val="center"/>
          </w:tcPr>
          <w:p w14:paraId="7FDD5486"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w:t>
            </w:r>
          </w:p>
        </w:tc>
        <w:tc>
          <w:tcPr>
            <w:tcW w:w="1418" w:type="dxa"/>
            <w:gridSpan w:val="2"/>
            <w:vAlign w:val="center"/>
          </w:tcPr>
          <w:p w14:paraId="6900985B"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4.0</w:t>
            </w:r>
          </w:p>
        </w:tc>
        <w:tc>
          <w:tcPr>
            <w:tcW w:w="1703" w:type="dxa"/>
            <w:vMerge/>
            <w:vAlign w:val="center"/>
          </w:tcPr>
          <w:p w14:paraId="56E1C8AD"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7D7098CA"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5DD09698"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262E29A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G3 1.1- &lt;1.2</w:t>
            </w:r>
          </w:p>
        </w:tc>
        <w:tc>
          <w:tcPr>
            <w:tcW w:w="709" w:type="dxa"/>
            <w:vAlign w:val="center"/>
          </w:tcPr>
          <w:p w14:paraId="53FFA1E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3.5</w:t>
            </w:r>
          </w:p>
        </w:tc>
        <w:tc>
          <w:tcPr>
            <w:tcW w:w="850" w:type="dxa"/>
            <w:vAlign w:val="center"/>
          </w:tcPr>
          <w:p w14:paraId="10F2553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3.5</w:t>
            </w:r>
          </w:p>
        </w:tc>
        <w:tc>
          <w:tcPr>
            <w:tcW w:w="1418" w:type="dxa"/>
            <w:gridSpan w:val="2"/>
            <w:vAlign w:val="center"/>
          </w:tcPr>
          <w:p w14:paraId="3BBCBB7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7" w:type="dxa"/>
            <w:gridSpan w:val="2"/>
            <w:vAlign w:val="center"/>
          </w:tcPr>
          <w:p w14:paraId="527151F9"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3.0</w:t>
            </w:r>
          </w:p>
        </w:tc>
        <w:tc>
          <w:tcPr>
            <w:tcW w:w="1418" w:type="dxa"/>
            <w:gridSpan w:val="2"/>
            <w:vAlign w:val="center"/>
          </w:tcPr>
          <w:p w14:paraId="606293B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5.5</w:t>
            </w:r>
          </w:p>
        </w:tc>
        <w:tc>
          <w:tcPr>
            <w:tcW w:w="1703" w:type="dxa"/>
            <w:vMerge/>
            <w:vAlign w:val="center"/>
          </w:tcPr>
          <w:p w14:paraId="40C9167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p>
        </w:tc>
      </w:tr>
      <w:tr w:rsidR="004D0C5A" w:rsidRPr="004D0C5A" w14:paraId="25E045D0"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63A2865A"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6D090608"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G4 ≥1.2</w:t>
            </w:r>
          </w:p>
        </w:tc>
        <w:tc>
          <w:tcPr>
            <w:tcW w:w="709" w:type="dxa"/>
            <w:vAlign w:val="center"/>
          </w:tcPr>
          <w:p w14:paraId="0E394ADC"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850" w:type="dxa"/>
            <w:vAlign w:val="center"/>
          </w:tcPr>
          <w:p w14:paraId="46F98767"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8" w:type="dxa"/>
            <w:gridSpan w:val="2"/>
            <w:vAlign w:val="center"/>
          </w:tcPr>
          <w:p w14:paraId="6DCC5E12"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7" w:type="dxa"/>
            <w:gridSpan w:val="2"/>
            <w:vAlign w:val="center"/>
          </w:tcPr>
          <w:p w14:paraId="5441C8B5"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4.5</w:t>
            </w:r>
          </w:p>
        </w:tc>
        <w:tc>
          <w:tcPr>
            <w:tcW w:w="1418" w:type="dxa"/>
            <w:gridSpan w:val="2"/>
            <w:vAlign w:val="center"/>
          </w:tcPr>
          <w:p w14:paraId="7ABD9E71"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703" w:type="dxa"/>
            <w:vMerge/>
            <w:vAlign w:val="center"/>
          </w:tcPr>
          <w:p w14:paraId="57745B52"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118259CB"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27E2FB0E" w14:textId="77777777" w:rsidR="00AF605B" w:rsidRPr="004D0C5A" w:rsidRDefault="00AF605B" w:rsidP="00AF605B">
            <w:pPr>
              <w:jc w:val="center"/>
              <w:textAlignment w:val="top"/>
              <w:rPr>
                <w:rFonts w:asciiTheme="majorBidi" w:hAnsiTheme="majorBidi" w:cstheme="majorBidi"/>
                <w:b w:val="0"/>
                <w:bCs w:val="0"/>
                <w:sz w:val="20"/>
                <w:szCs w:val="20"/>
              </w:rPr>
            </w:pPr>
            <w:r w:rsidRPr="004D0C5A">
              <w:rPr>
                <w:rFonts w:asciiTheme="majorBidi" w:hAnsiTheme="majorBidi" w:cstheme="majorBidi"/>
                <w:sz w:val="20"/>
                <w:szCs w:val="20"/>
              </w:rPr>
              <w:t>BMI (Kg/m</w:t>
            </w:r>
            <w:r w:rsidRPr="004D0C5A">
              <w:rPr>
                <w:rFonts w:asciiTheme="majorBidi" w:hAnsiTheme="majorBidi" w:cstheme="majorBidi"/>
                <w:sz w:val="20"/>
                <w:szCs w:val="20"/>
                <w:vertAlign w:val="superscript"/>
              </w:rPr>
              <w:t>2</w:t>
            </w:r>
            <w:r w:rsidRPr="004D0C5A">
              <w:rPr>
                <w:rFonts w:asciiTheme="majorBidi" w:hAnsiTheme="majorBidi" w:cstheme="majorBidi"/>
                <w:sz w:val="20"/>
                <w:szCs w:val="20"/>
              </w:rPr>
              <w:t>)</w:t>
            </w:r>
          </w:p>
        </w:tc>
        <w:tc>
          <w:tcPr>
            <w:tcW w:w="1183" w:type="dxa"/>
            <w:vAlign w:val="center"/>
          </w:tcPr>
          <w:p w14:paraId="49C60E4B"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G1&lt;1</w:t>
            </w:r>
          </w:p>
        </w:tc>
        <w:tc>
          <w:tcPr>
            <w:tcW w:w="709" w:type="dxa"/>
            <w:vAlign w:val="center"/>
          </w:tcPr>
          <w:p w14:paraId="4E1F34A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27.5</w:t>
            </w:r>
          </w:p>
        </w:tc>
        <w:tc>
          <w:tcPr>
            <w:tcW w:w="850" w:type="dxa"/>
            <w:vAlign w:val="center"/>
          </w:tcPr>
          <w:p w14:paraId="1E33C99B"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27.0</w:t>
            </w:r>
          </w:p>
        </w:tc>
        <w:tc>
          <w:tcPr>
            <w:tcW w:w="1418" w:type="dxa"/>
            <w:gridSpan w:val="2"/>
            <w:vAlign w:val="center"/>
          </w:tcPr>
          <w:p w14:paraId="43C9F81B"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29.0</w:t>
            </w:r>
          </w:p>
        </w:tc>
        <w:tc>
          <w:tcPr>
            <w:tcW w:w="1417" w:type="dxa"/>
            <w:gridSpan w:val="2"/>
            <w:vAlign w:val="center"/>
          </w:tcPr>
          <w:p w14:paraId="363FF18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26.6</w:t>
            </w:r>
          </w:p>
        </w:tc>
        <w:tc>
          <w:tcPr>
            <w:tcW w:w="1418" w:type="dxa"/>
            <w:gridSpan w:val="2"/>
            <w:vAlign w:val="center"/>
          </w:tcPr>
          <w:p w14:paraId="4E20EFE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29.0</w:t>
            </w:r>
          </w:p>
        </w:tc>
        <w:tc>
          <w:tcPr>
            <w:tcW w:w="1703" w:type="dxa"/>
            <w:vMerge w:val="restart"/>
            <w:vAlign w:val="center"/>
          </w:tcPr>
          <w:p w14:paraId="60A13FE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&lt;0.001**</w:t>
            </w:r>
          </w:p>
          <w:p w14:paraId="251E1EFF" w14:textId="2CC08545"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1-2</w:t>
            </w:r>
            <w:r w:rsidRPr="004D0C5A">
              <w:rPr>
                <w:rFonts w:asciiTheme="majorBidi" w:hAnsiTheme="majorBidi" w:cstheme="majorBidi"/>
                <w:sz w:val="20"/>
                <w:szCs w:val="20"/>
              </w:rPr>
              <w:t>=</w:t>
            </w:r>
            <w:r w:rsidRPr="004D0C5A">
              <w:rPr>
                <w:rFonts w:asciiTheme="majorBidi" w:hAnsiTheme="majorBidi" w:cstheme="majorBidi"/>
                <w:b/>
                <w:bCs/>
                <w:sz w:val="20"/>
                <w:szCs w:val="20"/>
              </w:rPr>
              <w:t>0.024</w:t>
            </w:r>
          </w:p>
          <w:p w14:paraId="0F97E372"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1-3</w:t>
            </w:r>
            <w:r w:rsidRPr="004D0C5A">
              <w:rPr>
                <w:rFonts w:asciiTheme="majorBidi" w:hAnsiTheme="majorBidi" w:cstheme="majorBidi"/>
                <w:b/>
                <w:bCs/>
                <w:sz w:val="20"/>
                <w:szCs w:val="20"/>
              </w:rPr>
              <w:t>&lt;0.001</w:t>
            </w:r>
          </w:p>
          <w:p w14:paraId="50FD58D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1-4</w:t>
            </w:r>
            <w:r w:rsidRPr="004D0C5A">
              <w:rPr>
                <w:rFonts w:asciiTheme="majorBidi" w:hAnsiTheme="majorBidi" w:cstheme="majorBidi"/>
                <w:b/>
                <w:bCs/>
                <w:sz w:val="20"/>
                <w:szCs w:val="20"/>
              </w:rPr>
              <w:t>&lt;0.001</w:t>
            </w:r>
          </w:p>
          <w:p w14:paraId="2246147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2-3</w:t>
            </w:r>
            <w:r w:rsidRPr="004D0C5A">
              <w:rPr>
                <w:rFonts w:asciiTheme="majorBidi" w:hAnsiTheme="majorBidi" w:cstheme="majorBidi"/>
                <w:b/>
                <w:bCs/>
                <w:sz w:val="20"/>
                <w:szCs w:val="20"/>
              </w:rPr>
              <w:t>&lt;0.001</w:t>
            </w:r>
          </w:p>
          <w:p w14:paraId="758AC87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2-4</w:t>
            </w:r>
            <w:r w:rsidRPr="004D0C5A">
              <w:rPr>
                <w:rFonts w:asciiTheme="majorBidi" w:hAnsiTheme="majorBidi" w:cstheme="majorBidi"/>
                <w:b/>
                <w:bCs/>
                <w:sz w:val="20"/>
                <w:szCs w:val="20"/>
              </w:rPr>
              <w:t>&lt;0.001</w:t>
            </w:r>
          </w:p>
          <w:p w14:paraId="6839EE9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3-4</w:t>
            </w:r>
            <w:r w:rsidRPr="004D0C5A">
              <w:rPr>
                <w:rFonts w:asciiTheme="majorBidi" w:hAnsiTheme="majorBidi" w:cstheme="majorBidi"/>
                <w:sz w:val="20"/>
                <w:szCs w:val="20"/>
              </w:rPr>
              <w:t>=0.494</w:t>
            </w:r>
          </w:p>
        </w:tc>
      </w:tr>
      <w:tr w:rsidR="004D0C5A" w:rsidRPr="004D0C5A" w14:paraId="4C315001"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50BB72CC"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422FE2D6"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G2 1- &lt;1.1</w:t>
            </w:r>
          </w:p>
        </w:tc>
        <w:tc>
          <w:tcPr>
            <w:tcW w:w="709" w:type="dxa"/>
            <w:vAlign w:val="center"/>
          </w:tcPr>
          <w:p w14:paraId="421E06B5"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23.5</w:t>
            </w:r>
          </w:p>
        </w:tc>
        <w:tc>
          <w:tcPr>
            <w:tcW w:w="850" w:type="dxa"/>
            <w:vAlign w:val="center"/>
          </w:tcPr>
          <w:p w14:paraId="14F414DD"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23.0</w:t>
            </w:r>
          </w:p>
        </w:tc>
        <w:tc>
          <w:tcPr>
            <w:tcW w:w="1418" w:type="dxa"/>
            <w:gridSpan w:val="2"/>
            <w:vAlign w:val="center"/>
          </w:tcPr>
          <w:p w14:paraId="72D12438"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25.0</w:t>
            </w:r>
          </w:p>
        </w:tc>
        <w:tc>
          <w:tcPr>
            <w:tcW w:w="1417" w:type="dxa"/>
            <w:gridSpan w:val="2"/>
            <w:vAlign w:val="center"/>
          </w:tcPr>
          <w:p w14:paraId="5C67728D"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21.0</w:t>
            </w:r>
          </w:p>
        </w:tc>
        <w:tc>
          <w:tcPr>
            <w:tcW w:w="1418" w:type="dxa"/>
            <w:gridSpan w:val="2"/>
            <w:vAlign w:val="center"/>
          </w:tcPr>
          <w:p w14:paraId="07A26EF5"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27.3</w:t>
            </w:r>
          </w:p>
        </w:tc>
        <w:tc>
          <w:tcPr>
            <w:tcW w:w="1703" w:type="dxa"/>
            <w:vMerge/>
            <w:vAlign w:val="center"/>
          </w:tcPr>
          <w:p w14:paraId="7D875769"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20DE7258"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1AD70FC1"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47842D5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G3 1.1- &lt;1.2</w:t>
            </w:r>
          </w:p>
        </w:tc>
        <w:tc>
          <w:tcPr>
            <w:tcW w:w="709" w:type="dxa"/>
            <w:vAlign w:val="center"/>
          </w:tcPr>
          <w:p w14:paraId="34CC2E5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22.5</w:t>
            </w:r>
          </w:p>
        </w:tc>
        <w:tc>
          <w:tcPr>
            <w:tcW w:w="850" w:type="dxa"/>
            <w:vAlign w:val="center"/>
          </w:tcPr>
          <w:p w14:paraId="181B4B6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19.5</w:t>
            </w:r>
          </w:p>
        </w:tc>
        <w:tc>
          <w:tcPr>
            <w:tcW w:w="1418" w:type="dxa"/>
            <w:gridSpan w:val="2"/>
            <w:vAlign w:val="center"/>
          </w:tcPr>
          <w:p w14:paraId="6A2868EF"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24.0</w:t>
            </w:r>
          </w:p>
        </w:tc>
        <w:tc>
          <w:tcPr>
            <w:tcW w:w="1417" w:type="dxa"/>
            <w:gridSpan w:val="2"/>
            <w:vAlign w:val="center"/>
          </w:tcPr>
          <w:p w14:paraId="2B4E93B5"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19.0</w:t>
            </w:r>
          </w:p>
        </w:tc>
        <w:tc>
          <w:tcPr>
            <w:tcW w:w="1418" w:type="dxa"/>
            <w:gridSpan w:val="2"/>
            <w:vAlign w:val="center"/>
          </w:tcPr>
          <w:p w14:paraId="00855C67"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25.0</w:t>
            </w:r>
          </w:p>
        </w:tc>
        <w:tc>
          <w:tcPr>
            <w:tcW w:w="1703" w:type="dxa"/>
            <w:vMerge/>
            <w:vAlign w:val="center"/>
          </w:tcPr>
          <w:p w14:paraId="17368023"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p>
        </w:tc>
      </w:tr>
      <w:tr w:rsidR="004D0C5A" w:rsidRPr="004D0C5A" w14:paraId="039C7012"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10D55EB8"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649F7246"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G4 ≥1.2</w:t>
            </w:r>
          </w:p>
        </w:tc>
        <w:tc>
          <w:tcPr>
            <w:tcW w:w="709" w:type="dxa"/>
            <w:vAlign w:val="center"/>
          </w:tcPr>
          <w:p w14:paraId="53EFDD2E"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18.8</w:t>
            </w:r>
          </w:p>
        </w:tc>
        <w:tc>
          <w:tcPr>
            <w:tcW w:w="850" w:type="dxa"/>
            <w:vAlign w:val="center"/>
          </w:tcPr>
          <w:p w14:paraId="34050587"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18.0</w:t>
            </w:r>
          </w:p>
        </w:tc>
        <w:tc>
          <w:tcPr>
            <w:tcW w:w="1418" w:type="dxa"/>
            <w:gridSpan w:val="2"/>
            <w:vAlign w:val="center"/>
          </w:tcPr>
          <w:p w14:paraId="3FB1E163"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19.0</w:t>
            </w:r>
          </w:p>
        </w:tc>
        <w:tc>
          <w:tcPr>
            <w:tcW w:w="1417" w:type="dxa"/>
            <w:gridSpan w:val="2"/>
            <w:vAlign w:val="center"/>
          </w:tcPr>
          <w:p w14:paraId="26206889"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17.5</w:t>
            </w:r>
          </w:p>
        </w:tc>
        <w:tc>
          <w:tcPr>
            <w:tcW w:w="1418" w:type="dxa"/>
            <w:gridSpan w:val="2"/>
            <w:vAlign w:val="center"/>
          </w:tcPr>
          <w:p w14:paraId="445713E1"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20.0</w:t>
            </w:r>
          </w:p>
        </w:tc>
        <w:tc>
          <w:tcPr>
            <w:tcW w:w="1703" w:type="dxa"/>
            <w:vMerge/>
            <w:vAlign w:val="center"/>
          </w:tcPr>
          <w:p w14:paraId="5BA27CD9"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5FEFB62A"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restart"/>
            <w:vAlign w:val="center"/>
          </w:tcPr>
          <w:p w14:paraId="238410D9" w14:textId="77777777" w:rsidR="00AF605B" w:rsidRPr="004D0C5A" w:rsidRDefault="00AF605B" w:rsidP="00AF605B">
            <w:pPr>
              <w:jc w:val="center"/>
              <w:textAlignment w:val="top"/>
              <w:rPr>
                <w:rFonts w:asciiTheme="majorBidi" w:hAnsiTheme="majorBidi" w:cstheme="majorBidi"/>
                <w:b w:val="0"/>
                <w:bCs w:val="0"/>
                <w:sz w:val="20"/>
                <w:szCs w:val="20"/>
              </w:rPr>
            </w:pPr>
            <w:r w:rsidRPr="004D0C5A">
              <w:rPr>
                <w:rFonts w:asciiTheme="majorBidi" w:hAnsiTheme="majorBidi" w:cstheme="majorBidi"/>
                <w:sz w:val="20"/>
                <w:szCs w:val="20"/>
              </w:rPr>
              <w:t>Ultrafiltration rate</w:t>
            </w:r>
          </w:p>
        </w:tc>
        <w:tc>
          <w:tcPr>
            <w:tcW w:w="1183" w:type="dxa"/>
            <w:vAlign w:val="center"/>
          </w:tcPr>
          <w:p w14:paraId="1C87120D"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G1&lt;1</w:t>
            </w:r>
          </w:p>
        </w:tc>
        <w:tc>
          <w:tcPr>
            <w:tcW w:w="709" w:type="dxa"/>
            <w:vAlign w:val="center"/>
          </w:tcPr>
          <w:p w14:paraId="04CC3F9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1.3</w:t>
            </w:r>
          </w:p>
        </w:tc>
        <w:tc>
          <w:tcPr>
            <w:tcW w:w="850" w:type="dxa"/>
            <w:vAlign w:val="center"/>
          </w:tcPr>
          <w:p w14:paraId="2AAF2BB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w:t>
            </w:r>
          </w:p>
        </w:tc>
        <w:tc>
          <w:tcPr>
            <w:tcW w:w="1418" w:type="dxa"/>
            <w:gridSpan w:val="2"/>
            <w:vAlign w:val="center"/>
          </w:tcPr>
          <w:p w14:paraId="1D2BD781"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1.5</w:t>
            </w:r>
          </w:p>
        </w:tc>
        <w:tc>
          <w:tcPr>
            <w:tcW w:w="1417" w:type="dxa"/>
            <w:gridSpan w:val="2"/>
            <w:vAlign w:val="center"/>
          </w:tcPr>
          <w:p w14:paraId="35F73E2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w:t>
            </w:r>
          </w:p>
        </w:tc>
        <w:tc>
          <w:tcPr>
            <w:tcW w:w="1418" w:type="dxa"/>
            <w:gridSpan w:val="2"/>
            <w:vAlign w:val="center"/>
          </w:tcPr>
          <w:p w14:paraId="6918A3F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1.5</w:t>
            </w:r>
          </w:p>
        </w:tc>
        <w:tc>
          <w:tcPr>
            <w:tcW w:w="1703" w:type="dxa"/>
            <w:vMerge w:val="restart"/>
            <w:vAlign w:val="center"/>
          </w:tcPr>
          <w:p w14:paraId="71579C0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b/>
                <w:bCs/>
                <w:sz w:val="20"/>
                <w:szCs w:val="20"/>
              </w:rPr>
              <w:t>&lt;0.001**</w:t>
            </w:r>
          </w:p>
          <w:p w14:paraId="490A0CE4" w14:textId="70C5662E"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1-2</w:t>
            </w:r>
            <w:r w:rsidRPr="004D0C5A">
              <w:rPr>
                <w:rFonts w:asciiTheme="majorBidi" w:hAnsiTheme="majorBidi" w:cstheme="majorBidi"/>
                <w:b/>
                <w:bCs/>
                <w:sz w:val="20"/>
                <w:szCs w:val="20"/>
              </w:rPr>
              <w:t>&lt;0.001</w:t>
            </w:r>
          </w:p>
          <w:p w14:paraId="219D57FA"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1-3</w:t>
            </w:r>
            <w:r w:rsidRPr="004D0C5A">
              <w:rPr>
                <w:rFonts w:asciiTheme="majorBidi" w:hAnsiTheme="majorBidi" w:cstheme="majorBidi"/>
                <w:b/>
                <w:bCs/>
                <w:sz w:val="20"/>
                <w:szCs w:val="20"/>
              </w:rPr>
              <w:t>&lt;0.001</w:t>
            </w:r>
          </w:p>
          <w:p w14:paraId="2C44E0C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1-4</w:t>
            </w:r>
            <w:r w:rsidRPr="004D0C5A">
              <w:rPr>
                <w:rFonts w:asciiTheme="majorBidi" w:hAnsiTheme="majorBidi" w:cstheme="majorBidi"/>
                <w:b/>
                <w:bCs/>
                <w:sz w:val="20"/>
                <w:szCs w:val="20"/>
              </w:rPr>
              <w:t>&lt;0.001</w:t>
            </w:r>
          </w:p>
          <w:p w14:paraId="6970B6D1"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2-3</w:t>
            </w:r>
            <w:r w:rsidRPr="004D0C5A">
              <w:rPr>
                <w:rFonts w:asciiTheme="majorBidi" w:hAnsiTheme="majorBidi" w:cstheme="majorBidi"/>
                <w:b/>
                <w:bCs/>
                <w:sz w:val="20"/>
                <w:szCs w:val="20"/>
              </w:rPr>
              <w:t>=</w:t>
            </w:r>
            <w:r w:rsidRPr="004D0C5A">
              <w:rPr>
                <w:rFonts w:asciiTheme="majorBidi" w:hAnsiTheme="majorBidi" w:cstheme="majorBidi"/>
                <w:sz w:val="20"/>
                <w:szCs w:val="20"/>
              </w:rPr>
              <w:t>0.527</w:t>
            </w:r>
          </w:p>
          <w:p w14:paraId="24225F6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2-4</w:t>
            </w:r>
            <w:r w:rsidRPr="004D0C5A">
              <w:rPr>
                <w:rFonts w:asciiTheme="majorBidi" w:hAnsiTheme="majorBidi" w:cstheme="majorBidi"/>
                <w:b/>
                <w:bCs/>
                <w:sz w:val="20"/>
                <w:szCs w:val="20"/>
              </w:rPr>
              <w:t>&lt;0.001</w:t>
            </w:r>
          </w:p>
          <w:p w14:paraId="55B37080"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sz w:val="20"/>
                <w:szCs w:val="20"/>
              </w:rPr>
              <w:t>P</w:t>
            </w:r>
            <w:r w:rsidRPr="004D0C5A">
              <w:rPr>
                <w:rFonts w:asciiTheme="majorBidi" w:hAnsiTheme="majorBidi" w:cstheme="majorBidi"/>
                <w:sz w:val="20"/>
                <w:szCs w:val="20"/>
                <w:vertAlign w:val="subscript"/>
              </w:rPr>
              <w:t>3-4</w:t>
            </w:r>
            <w:r w:rsidRPr="004D0C5A">
              <w:rPr>
                <w:rFonts w:asciiTheme="majorBidi" w:hAnsiTheme="majorBidi" w:cstheme="majorBidi"/>
                <w:sz w:val="20"/>
                <w:szCs w:val="20"/>
              </w:rPr>
              <w:t>=</w:t>
            </w:r>
            <w:r w:rsidRPr="004D0C5A">
              <w:rPr>
                <w:rFonts w:asciiTheme="majorBidi" w:hAnsiTheme="majorBidi" w:cstheme="majorBidi"/>
                <w:b/>
                <w:bCs/>
                <w:sz w:val="20"/>
                <w:szCs w:val="20"/>
              </w:rPr>
              <w:t>0.006</w:t>
            </w:r>
          </w:p>
        </w:tc>
      </w:tr>
      <w:tr w:rsidR="004D0C5A" w:rsidRPr="004D0C5A" w14:paraId="57B8B53D"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0A2C5708"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6213855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G2 1- &lt;1.1</w:t>
            </w:r>
          </w:p>
        </w:tc>
        <w:tc>
          <w:tcPr>
            <w:tcW w:w="709" w:type="dxa"/>
            <w:vAlign w:val="center"/>
          </w:tcPr>
          <w:p w14:paraId="21EFB76C"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2.5</w:t>
            </w:r>
          </w:p>
        </w:tc>
        <w:tc>
          <w:tcPr>
            <w:tcW w:w="850" w:type="dxa"/>
            <w:vAlign w:val="center"/>
          </w:tcPr>
          <w:p w14:paraId="045C6907"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2.0</w:t>
            </w:r>
          </w:p>
        </w:tc>
        <w:tc>
          <w:tcPr>
            <w:tcW w:w="1418" w:type="dxa"/>
            <w:gridSpan w:val="2"/>
            <w:vAlign w:val="center"/>
          </w:tcPr>
          <w:p w14:paraId="6835ED42"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3.5</w:t>
            </w:r>
          </w:p>
        </w:tc>
        <w:tc>
          <w:tcPr>
            <w:tcW w:w="1417" w:type="dxa"/>
            <w:gridSpan w:val="2"/>
            <w:vAlign w:val="center"/>
          </w:tcPr>
          <w:p w14:paraId="77DBF442"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1.0</w:t>
            </w:r>
          </w:p>
        </w:tc>
        <w:tc>
          <w:tcPr>
            <w:tcW w:w="1418" w:type="dxa"/>
            <w:gridSpan w:val="2"/>
            <w:vAlign w:val="center"/>
          </w:tcPr>
          <w:p w14:paraId="4C368EC6"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4.0</w:t>
            </w:r>
          </w:p>
        </w:tc>
        <w:tc>
          <w:tcPr>
            <w:tcW w:w="1703" w:type="dxa"/>
            <w:vMerge/>
            <w:vAlign w:val="center"/>
          </w:tcPr>
          <w:p w14:paraId="64101313"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AF605B" w:rsidRPr="004D0C5A" w14:paraId="7CB1F45E" w14:textId="77777777" w:rsidTr="005D23DC">
        <w:trPr>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640DD03B"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00FA56EE"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G3 1.1- &lt;1.2</w:t>
            </w:r>
          </w:p>
        </w:tc>
        <w:tc>
          <w:tcPr>
            <w:tcW w:w="709" w:type="dxa"/>
            <w:vAlign w:val="center"/>
          </w:tcPr>
          <w:p w14:paraId="1EE5A6BB"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4.5</w:t>
            </w:r>
          </w:p>
        </w:tc>
        <w:tc>
          <w:tcPr>
            <w:tcW w:w="850" w:type="dxa"/>
            <w:vAlign w:val="center"/>
          </w:tcPr>
          <w:p w14:paraId="6B3A053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3.5</w:t>
            </w:r>
          </w:p>
        </w:tc>
        <w:tc>
          <w:tcPr>
            <w:tcW w:w="1418" w:type="dxa"/>
            <w:gridSpan w:val="2"/>
            <w:vAlign w:val="center"/>
          </w:tcPr>
          <w:p w14:paraId="2BE7C812"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5.5</w:t>
            </w:r>
          </w:p>
        </w:tc>
        <w:tc>
          <w:tcPr>
            <w:tcW w:w="1417" w:type="dxa"/>
            <w:gridSpan w:val="2"/>
            <w:vAlign w:val="center"/>
          </w:tcPr>
          <w:p w14:paraId="75F320BE"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3.0</w:t>
            </w:r>
          </w:p>
        </w:tc>
        <w:tc>
          <w:tcPr>
            <w:tcW w:w="1418" w:type="dxa"/>
            <w:gridSpan w:val="2"/>
            <w:vAlign w:val="center"/>
          </w:tcPr>
          <w:p w14:paraId="0B3C20CC"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6.0</w:t>
            </w:r>
          </w:p>
        </w:tc>
        <w:tc>
          <w:tcPr>
            <w:tcW w:w="1703" w:type="dxa"/>
            <w:vMerge/>
            <w:vAlign w:val="center"/>
          </w:tcPr>
          <w:p w14:paraId="1CC2EAAF" w14:textId="77777777" w:rsidR="00AF605B" w:rsidRPr="004D0C5A" w:rsidRDefault="00AF605B" w:rsidP="00AF605B">
            <w:pPr>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p>
        </w:tc>
      </w:tr>
      <w:tr w:rsidR="004D0C5A" w:rsidRPr="004D0C5A" w14:paraId="684428B3" w14:textId="77777777" w:rsidTr="005D23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4" w:type="dxa"/>
            <w:vMerge/>
            <w:vAlign w:val="center"/>
          </w:tcPr>
          <w:p w14:paraId="51F8AE36" w14:textId="77777777" w:rsidR="00AF605B" w:rsidRPr="004D0C5A" w:rsidRDefault="00AF605B" w:rsidP="00AF605B">
            <w:pPr>
              <w:jc w:val="center"/>
              <w:textAlignment w:val="top"/>
              <w:rPr>
                <w:rFonts w:asciiTheme="majorBidi" w:hAnsiTheme="majorBidi" w:cstheme="majorBidi"/>
                <w:b w:val="0"/>
                <w:bCs w:val="0"/>
                <w:sz w:val="20"/>
                <w:szCs w:val="20"/>
              </w:rPr>
            </w:pPr>
          </w:p>
        </w:tc>
        <w:tc>
          <w:tcPr>
            <w:tcW w:w="1183" w:type="dxa"/>
            <w:vAlign w:val="center"/>
          </w:tcPr>
          <w:p w14:paraId="4C403564"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0C5A">
              <w:rPr>
                <w:rFonts w:asciiTheme="majorBidi" w:hAnsiTheme="majorBidi" w:cstheme="majorBidi"/>
                <w:b/>
                <w:bCs/>
                <w:sz w:val="20"/>
                <w:szCs w:val="20"/>
              </w:rPr>
              <w:t>G4 ≥1.2</w:t>
            </w:r>
          </w:p>
        </w:tc>
        <w:tc>
          <w:tcPr>
            <w:tcW w:w="709" w:type="dxa"/>
            <w:vAlign w:val="center"/>
          </w:tcPr>
          <w:p w14:paraId="564D2D1F"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850" w:type="dxa"/>
            <w:vAlign w:val="center"/>
          </w:tcPr>
          <w:p w14:paraId="69C8D866"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8" w:type="dxa"/>
            <w:gridSpan w:val="2"/>
            <w:vAlign w:val="center"/>
          </w:tcPr>
          <w:p w14:paraId="5922AE99"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5.0</w:t>
            </w:r>
          </w:p>
        </w:tc>
        <w:tc>
          <w:tcPr>
            <w:tcW w:w="1417" w:type="dxa"/>
            <w:gridSpan w:val="2"/>
            <w:vAlign w:val="center"/>
          </w:tcPr>
          <w:p w14:paraId="229112DA"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4.5</w:t>
            </w:r>
          </w:p>
        </w:tc>
        <w:tc>
          <w:tcPr>
            <w:tcW w:w="1418" w:type="dxa"/>
            <w:gridSpan w:val="2"/>
            <w:vAlign w:val="center"/>
          </w:tcPr>
          <w:p w14:paraId="328D04EC"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0C5A">
              <w:rPr>
                <w:rFonts w:asciiTheme="majorBidi" w:hAnsiTheme="majorBidi" w:cstheme="majorBidi"/>
                <w:sz w:val="20"/>
                <w:szCs w:val="20"/>
              </w:rPr>
              <w:t>5.5</w:t>
            </w:r>
          </w:p>
        </w:tc>
        <w:tc>
          <w:tcPr>
            <w:tcW w:w="1703" w:type="dxa"/>
            <w:vMerge/>
            <w:vAlign w:val="center"/>
          </w:tcPr>
          <w:p w14:paraId="67028F66" w14:textId="77777777" w:rsidR="00AF605B" w:rsidRPr="004D0C5A" w:rsidRDefault="00AF605B" w:rsidP="00AF605B">
            <w:pPr>
              <w:jc w:val="center"/>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bl>
    <w:p w14:paraId="1EEBE298" w14:textId="43B0F169" w:rsidR="00FC039A" w:rsidRPr="00235F12" w:rsidRDefault="004D0C5A" w:rsidP="00A9451D">
      <w:pPr>
        <w:rPr>
          <w:rFonts w:asciiTheme="majorBidi" w:eastAsia="Calibri" w:hAnsiTheme="majorBidi" w:cstheme="majorBidi"/>
          <w:bCs/>
          <w:sz w:val="18"/>
          <w:szCs w:val="18"/>
        </w:rPr>
      </w:pPr>
      <w:r w:rsidRPr="004D0C5A">
        <w:rPr>
          <w:rFonts w:ascii="Times New Roman" w:eastAsia="Calibri" w:hAnsi="Times New Roman" w:cs="Times New Roman"/>
          <w:bCs/>
          <w:sz w:val="18"/>
          <w:szCs w:val="18"/>
          <w:lang w:bidi="ar-EG"/>
        </w:rPr>
        <w:t>Data presents as mean ± SD</w:t>
      </w:r>
      <w:r>
        <w:rPr>
          <w:rFonts w:ascii="Times New Roman" w:eastAsia="Calibri" w:hAnsi="Times New Roman" w:cs="Times New Roman"/>
          <w:bCs/>
          <w:sz w:val="18"/>
          <w:szCs w:val="18"/>
          <w:lang w:bidi="ar-EG"/>
        </w:rPr>
        <w:t xml:space="preserve">, </w:t>
      </w:r>
      <w:r w:rsidRPr="004D0C5A">
        <w:rPr>
          <w:rFonts w:ascii="Times New Roman" w:eastAsia="Calibri" w:hAnsi="Times New Roman" w:cs="Times New Roman"/>
          <w:bCs/>
          <w:sz w:val="18"/>
          <w:szCs w:val="18"/>
          <w:lang w:bidi="ar-EG"/>
        </w:rPr>
        <w:t>Median</w:t>
      </w:r>
      <w:r>
        <w:rPr>
          <w:rFonts w:ascii="Times New Roman" w:eastAsia="Calibri" w:hAnsi="Times New Roman" w:cs="Times New Roman"/>
          <w:bCs/>
          <w:sz w:val="18"/>
          <w:szCs w:val="18"/>
          <w:lang w:bidi="ar-EG"/>
        </w:rPr>
        <w:t xml:space="preserve">, </w:t>
      </w:r>
      <w:proofErr w:type="spellStart"/>
      <w:r w:rsidRPr="004D0C5A">
        <w:rPr>
          <w:rFonts w:ascii="Times New Roman" w:eastAsia="Calibri" w:hAnsi="Times New Roman" w:cs="Times New Roman"/>
          <w:bCs/>
          <w:sz w:val="18"/>
          <w:szCs w:val="18"/>
          <w:lang w:bidi="ar-EG"/>
        </w:rPr>
        <w:t>IQR</w:t>
      </w:r>
      <w:r>
        <w:rPr>
          <w:rFonts w:ascii="Times New Roman" w:eastAsia="Calibri" w:hAnsi="Times New Roman" w:cs="Times New Roman"/>
          <w:bCs/>
          <w:sz w:val="18"/>
          <w:szCs w:val="18"/>
          <w:lang w:bidi="ar-EG"/>
        </w:rPr>
        <w:t>,</w:t>
      </w:r>
      <w:r w:rsidRPr="004D0C5A">
        <w:rPr>
          <w:rFonts w:ascii="Times New Roman" w:eastAsia="Calibri" w:hAnsi="Times New Roman" w:cs="Times New Roman"/>
          <w:bCs/>
          <w:sz w:val="18"/>
          <w:szCs w:val="18"/>
          <w:lang w:bidi="ar-EG"/>
        </w:rPr>
        <w:t>Range</w:t>
      </w:r>
      <w:proofErr w:type="spellEnd"/>
      <w:r>
        <w:rPr>
          <w:rFonts w:ascii="Times New Roman" w:eastAsia="Calibri" w:hAnsi="Times New Roman" w:cs="Times New Roman"/>
          <w:bCs/>
          <w:sz w:val="18"/>
          <w:szCs w:val="18"/>
          <w:lang w:bidi="ar-EG"/>
        </w:rPr>
        <w:t xml:space="preserve"> or frequency (%). HTN: </w:t>
      </w:r>
      <w:r w:rsidR="00C36030" w:rsidRPr="00235F12">
        <w:rPr>
          <w:rFonts w:ascii="Times New Roman" w:eastAsia="Calibri" w:hAnsi="Times New Roman" w:cs="Times New Roman"/>
          <w:bCs/>
          <w:sz w:val="18"/>
          <w:szCs w:val="18"/>
        </w:rPr>
        <w:t>Hypertension, ADPCK:</w:t>
      </w:r>
      <w:r w:rsidR="00C36030" w:rsidRPr="00235F12">
        <w:rPr>
          <w:bCs/>
          <w:sz w:val="18"/>
          <w:szCs w:val="18"/>
        </w:rPr>
        <w:t xml:space="preserve"> </w:t>
      </w:r>
      <w:r w:rsidR="00C36030" w:rsidRPr="00235F12">
        <w:rPr>
          <w:rFonts w:ascii="Times New Roman" w:eastAsia="Calibri" w:hAnsi="Times New Roman" w:cs="Times New Roman"/>
          <w:bCs/>
          <w:sz w:val="18"/>
          <w:szCs w:val="18"/>
        </w:rPr>
        <w:t xml:space="preserve">autosomal dominant polycystic kidney disease, </w:t>
      </w:r>
      <w:r w:rsidR="00235F12" w:rsidRPr="00235F12">
        <w:rPr>
          <w:rFonts w:ascii="Times New Roman" w:eastAsia="Calibri" w:hAnsi="Times New Roman" w:cs="Times New Roman"/>
          <w:bCs/>
          <w:sz w:val="18"/>
          <w:szCs w:val="18"/>
        </w:rPr>
        <w:t xml:space="preserve"> SLE: systemic lupus erythematosus, DM:</w:t>
      </w:r>
      <w:r w:rsidR="00235F12" w:rsidRPr="00235F12">
        <w:rPr>
          <w:bCs/>
          <w:sz w:val="18"/>
          <w:szCs w:val="18"/>
        </w:rPr>
        <w:t xml:space="preserve"> </w:t>
      </w:r>
      <w:r w:rsidR="00235F12" w:rsidRPr="00235F12">
        <w:rPr>
          <w:rFonts w:ascii="Times New Roman" w:eastAsia="Calibri" w:hAnsi="Times New Roman" w:cs="Times New Roman"/>
          <w:bCs/>
          <w:sz w:val="18"/>
          <w:szCs w:val="18"/>
        </w:rPr>
        <w:t>diabetes mellitus, BMI: body mass index</w:t>
      </w:r>
    </w:p>
    <w:p w14:paraId="4A937007" w14:textId="77777777" w:rsidR="00FC039A" w:rsidRPr="00DF16A5" w:rsidRDefault="00FC039A">
      <w:pPr>
        <w:rPr>
          <w:rFonts w:ascii="Times New Roman" w:eastAsia="Calibri" w:hAnsi="Times New Roman" w:cs="Times New Roman"/>
          <w:b/>
          <w:bCs/>
          <w:sz w:val="24"/>
          <w:szCs w:val="24"/>
          <w:highlight w:val="yellow"/>
        </w:rPr>
      </w:pPr>
      <w:r w:rsidRPr="00DF16A5">
        <w:rPr>
          <w:rFonts w:ascii="Times New Roman" w:eastAsia="Calibri" w:hAnsi="Times New Roman" w:cs="Times New Roman"/>
          <w:b/>
          <w:bCs/>
          <w:sz w:val="24"/>
          <w:szCs w:val="24"/>
          <w:highlight w:val="yellow"/>
        </w:rPr>
        <w:br w:type="page"/>
      </w:r>
    </w:p>
    <w:p w14:paraId="0781A2DC" w14:textId="625743DE" w:rsidR="00423FA0" w:rsidRDefault="00423FA0" w:rsidP="00423FA0">
      <w:pPr>
        <w:pStyle w:val="Caption"/>
        <w:spacing w:after="0"/>
      </w:pPr>
      <w:bookmarkStart w:id="13" w:name="_Toc138656421"/>
      <w:bookmarkStart w:id="14" w:name="_Toc140088126"/>
      <w:bookmarkStart w:id="15" w:name="_Ref132000512"/>
      <w:r>
        <w:lastRenderedPageBreak/>
        <w:t xml:space="preserve">Table </w:t>
      </w:r>
      <w:r w:rsidR="00C36030">
        <w:fldChar w:fldCharType="begin"/>
      </w:r>
      <w:r w:rsidR="00C36030">
        <w:instrText xml:space="preserve"> SEQ Table \* ARABIC </w:instrText>
      </w:r>
      <w:r w:rsidR="00C36030">
        <w:fldChar w:fldCharType="separate"/>
      </w:r>
      <w:r w:rsidR="00583979">
        <w:rPr>
          <w:noProof/>
        </w:rPr>
        <w:t>2</w:t>
      </w:r>
      <w:r w:rsidR="00C36030">
        <w:fldChar w:fldCharType="end"/>
      </w:r>
      <w:r>
        <w:t>:</w:t>
      </w:r>
      <w:r w:rsidRPr="00423FA0">
        <w:t xml:space="preserve"> Left ventricular ejection fraction (LVEF)according to post Hb/</w:t>
      </w:r>
      <w:proofErr w:type="spellStart"/>
      <w:r w:rsidRPr="00423FA0">
        <w:t>preHb</w:t>
      </w:r>
      <w:proofErr w:type="spellEnd"/>
      <w:r w:rsidRPr="00423FA0">
        <w:t xml:space="preserve"> ratio categories</w:t>
      </w:r>
    </w:p>
    <w:tbl>
      <w:tblPr>
        <w:tblStyle w:val="GridTable6Colorful11"/>
        <w:tblW w:w="5000" w:type="pct"/>
        <w:tblLayout w:type="fixed"/>
        <w:tblLook w:val="04A0" w:firstRow="1" w:lastRow="0" w:firstColumn="1" w:lastColumn="0" w:noHBand="0" w:noVBand="1"/>
      </w:tblPr>
      <w:tblGrid>
        <w:gridCol w:w="1167"/>
        <w:gridCol w:w="808"/>
        <w:gridCol w:w="259"/>
        <w:gridCol w:w="597"/>
        <w:gridCol w:w="787"/>
        <w:gridCol w:w="1056"/>
        <w:gridCol w:w="708"/>
        <w:gridCol w:w="711"/>
        <w:gridCol w:w="708"/>
        <w:gridCol w:w="711"/>
        <w:gridCol w:w="1118"/>
      </w:tblGrid>
      <w:tr w:rsidR="005D23DC" w:rsidRPr="00C57BB5" w14:paraId="3476B5BA" w14:textId="77777777" w:rsidTr="005D23D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pct"/>
            <w:gridSpan w:val="2"/>
            <w:vMerge w:val="restart"/>
            <w:vAlign w:val="center"/>
          </w:tcPr>
          <w:p w14:paraId="52FA20CE" w14:textId="77777777" w:rsidR="005D23DC" w:rsidRPr="00E73F4B" w:rsidRDefault="005D23DC" w:rsidP="00423FA0">
            <w:pPr>
              <w:autoSpaceDE w:val="0"/>
              <w:autoSpaceDN w:val="0"/>
              <w:adjustRightInd w:val="0"/>
              <w:jc w:val="center"/>
              <w:rPr>
                <w:rFonts w:ascii="Times New Roman" w:hAnsi="Times New Roman" w:cs="Times New Roman"/>
                <w:color w:val="121212"/>
              </w:rPr>
            </w:pPr>
          </w:p>
        </w:tc>
        <w:tc>
          <w:tcPr>
            <w:tcW w:w="3856" w:type="pct"/>
            <w:gridSpan w:val="9"/>
            <w:vAlign w:val="center"/>
          </w:tcPr>
          <w:p w14:paraId="52B9942F" w14:textId="3C80F39D" w:rsidR="005D23DC" w:rsidRPr="00C57BB5" w:rsidRDefault="005D23DC" w:rsidP="00423FA0">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21212"/>
                <w:sz w:val="20"/>
                <w:szCs w:val="20"/>
              </w:rPr>
            </w:pPr>
            <w:r w:rsidRPr="00AF6475">
              <w:rPr>
                <w:rFonts w:ascii="Times New Roman" w:hAnsi="Times New Roman" w:cs="Times New Roman"/>
                <w:sz w:val="20"/>
                <w:szCs w:val="20"/>
              </w:rPr>
              <w:t>EF</w:t>
            </w:r>
            <w:r>
              <w:rPr>
                <w:rFonts w:ascii="Times New Roman" w:hAnsi="Times New Roman" w:cs="Times New Roman"/>
                <w:sz w:val="20"/>
                <w:szCs w:val="20"/>
              </w:rPr>
              <w:t xml:space="preserve"> </w:t>
            </w:r>
            <w:r w:rsidRPr="00AF6475">
              <w:rPr>
                <w:rFonts w:ascii="Times New Roman" w:hAnsi="Times New Roman" w:cs="Times New Roman"/>
                <w:sz w:val="20"/>
                <w:szCs w:val="20"/>
              </w:rPr>
              <w:t>(%)</w:t>
            </w:r>
          </w:p>
        </w:tc>
      </w:tr>
      <w:tr w:rsidR="004D0C5A" w:rsidRPr="00C57BB5" w14:paraId="54ADAAAD"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pct"/>
            <w:gridSpan w:val="2"/>
            <w:vMerge/>
            <w:vAlign w:val="center"/>
            <w:hideMark/>
          </w:tcPr>
          <w:p w14:paraId="6352A9E7" w14:textId="77777777" w:rsidR="00235F12" w:rsidRPr="00E73F4B" w:rsidRDefault="00235F12" w:rsidP="00423FA0">
            <w:pPr>
              <w:autoSpaceDE w:val="0"/>
              <w:autoSpaceDN w:val="0"/>
              <w:adjustRightInd w:val="0"/>
              <w:ind w:left="60" w:right="60"/>
              <w:jc w:val="center"/>
              <w:rPr>
                <w:rFonts w:ascii="Times New Roman" w:hAnsi="Times New Roman" w:cs="Times New Roman"/>
                <w:b w:val="0"/>
                <w:bCs w:val="0"/>
                <w:color w:val="121212"/>
                <w:sz w:val="20"/>
                <w:szCs w:val="20"/>
              </w:rPr>
            </w:pPr>
          </w:p>
        </w:tc>
        <w:tc>
          <w:tcPr>
            <w:tcW w:w="496" w:type="pct"/>
            <w:gridSpan w:val="2"/>
            <w:vAlign w:val="center"/>
          </w:tcPr>
          <w:p w14:paraId="754CEAD7" w14:textId="77777777" w:rsidR="00235F12" w:rsidRPr="00E73F4B"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21212"/>
                <w:sz w:val="20"/>
                <w:szCs w:val="20"/>
              </w:rPr>
            </w:pPr>
            <w:r w:rsidRPr="00E73F4B">
              <w:rPr>
                <w:rFonts w:ascii="Times New Roman" w:hAnsi="Times New Roman" w:cs="Times New Roman"/>
                <w:b/>
                <w:bCs/>
                <w:color w:val="121212"/>
                <w:sz w:val="20"/>
                <w:szCs w:val="20"/>
              </w:rPr>
              <w:t>Mean</w:t>
            </w:r>
          </w:p>
        </w:tc>
        <w:tc>
          <w:tcPr>
            <w:tcW w:w="456" w:type="pct"/>
            <w:vAlign w:val="center"/>
          </w:tcPr>
          <w:p w14:paraId="22DA37D6" w14:textId="77777777" w:rsidR="00235F12" w:rsidRPr="00E73F4B"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21212"/>
                <w:sz w:val="20"/>
                <w:szCs w:val="20"/>
              </w:rPr>
            </w:pPr>
            <w:r>
              <w:rPr>
                <w:rFonts w:ascii="Times New Roman" w:hAnsi="Times New Roman" w:cs="Times New Roman"/>
                <w:b/>
                <w:bCs/>
                <w:color w:val="121212"/>
                <w:sz w:val="20"/>
                <w:szCs w:val="20"/>
              </w:rPr>
              <w:t>SD</w:t>
            </w:r>
          </w:p>
        </w:tc>
        <w:tc>
          <w:tcPr>
            <w:tcW w:w="612" w:type="pct"/>
            <w:vAlign w:val="center"/>
            <w:hideMark/>
          </w:tcPr>
          <w:p w14:paraId="289CDECA" w14:textId="77777777" w:rsidR="00235F12" w:rsidRPr="00E73F4B"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21212"/>
                <w:sz w:val="20"/>
                <w:szCs w:val="20"/>
              </w:rPr>
            </w:pPr>
            <w:r w:rsidRPr="00E73F4B">
              <w:rPr>
                <w:rFonts w:ascii="Times New Roman" w:hAnsi="Times New Roman" w:cs="Times New Roman"/>
                <w:b/>
                <w:bCs/>
                <w:color w:val="121212"/>
                <w:sz w:val="20"/>
                <w:szCs w:val="20"/>
              </w:rPr>
              <w:t>Median</w:t>
            </w:r>
          </w:p>
        </w:tc>
        <w:tc>
          <w:tcPr>
            <w:tcW w:w="822" w:type="pct"/>
            <w:gridSpan w:val="2"/>
            <w:vAlign w:val="center"/>
            <w:hideMark/>
          </w:tcPr>
          <w:p w14:paraId="251BC141" w14:textId="77777777" w:rsidR="00235F12" w:rsidRPr="00C57BB5"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21212"/>
                <w:sz w:val="20"/>
                <w:szCs w:val="20"/>
              </w:rPr>
            </w:pPr>
            <w:r w:rsidRPr="00C57BB5">
              <w:rPr>
                <w:rFonts w:ascii="Times New Roman" w:hAnsi="Times New Roman" w:cs="Times New Roman"/>
                <w:b/>
                <w:bCs/>
                <w:color w:val="121212"/>
                <w:sz w:val="20"/>
                <w:szCs w:val="20"/>
              </w:rPr>
              <w:t>IQR</w:t>
            </w:r>
          </w:p>
        </w:tc>
        <w:tc>
          <w:tcPr>
            <w:tcW w:w="822" w:type="pct"/>
            <w:gridSpan w:val="2"/>
            <w:vAlign w:val="center"/>
          </w:tcPr>
          <w:p w14:paraId="34D1943C" w14:textId="77777777" w:rsidR="00235F12" w:rsidRPr="00E73F4B"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21212"/>
                <w:sz w:val="20"/>
                <w:szCs w:val="20"/>
              </w:rPr>
            </w:pPr>
            <w:r>
              <w:rPr>
                <w:rFonts w:ascii="Times New Roman" w:hAnsi="Times New Roman" w:cs="Times New Roman"/>
                <w:b/>
                <w:bCs/>
                <w:color w:val="121212"/>
                <w:sz w:val="20"/>
                <w:szCs w:val="20"/>
              </w:rPr>
              <w:t>Range</w:t>
            </w:r>
          </w:p>
        </w:tc>
        <w:tc>
          <w:tcPr>
            <w:tcW w:w="648" w:type="pct"/>
            <w:vAlign w:val="center"/>
            <w:hideMark/>
          </w:tcPr>
          <w:p w14:paraId="4CFB02F7" w14:textId="77777777" w:rsidR="00235F12" w:rsidRPr="00C57BB5"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21212"/>
                <w:sz w:val="20"/>
                <w:szCs w:val="20"/>
              </w:rPr>
            </w:pPr>
            <w:r w:rsidRPr="00C57BB5">
              <w:rPr>
                <w:rFonts w:ascii="Times New Roman" w:hAnsi="Times New Roman" w:cs="Times New Roman"/>
                <w:b/>
                <w:bCs/>
                <w:color w:val="121212"/>
                <w:sz w:val="20"/>
                <w:szCs w:val="20"/>
              </w:rPr>
              <w:t>P-value</w:t>
            </w:r>
          </w:p>
        </w:tc>
      </w:tr>
      <w:tr w:rsidR="004D0C5A" w:rsidRPr="006E060D" w14:paraId="2052D292"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restart"/>
            <w:vAlign w:val="center"/>
            <w:hideMark/>
          </w:tcPr>
          <w:p w14:paraId="25798CBC" w14:textId="77777777" w:rsidR="00235F12" w:rsidRPr="00C57BB5" w:rsidRDefault="00235F12" w:rsidP="00423FA0">
            <w:pPr>
              <w:autoSpaceDE w:val="0"/>
              <w:autoSpaceDN w:val="0"/>
              <w:adjustRightInd w:val="0"/>
              <w:ind w:left="60" w:right="60"/>
              <w:jc w:val="center"/>
              <w:rPr>
                <w:rFonts w:ascii="Times New Roman" w:hAnsi="Times New Roman" w:cs="Times New Roman"/>
                <w:color w:val="121212"/>
                <w:sz w:val="20"/>
                <w:szCs w:val="20"/>
              </w:rPr>
            </w:pPr>
            <w:r w:rsidRPr="00C57BB5">
              <w:rPr>
                <w:rFonts w:ascii="Times New Roman" w:hAnsi="Times New Roman" w:cs="Times New Roman"/>
                <w:color w:val="121212"/>
                <w:sz w:val="20"/>
                <w:szCs w:val="20"/>
              </w:rPr>
              <w:t>Baseline</w:t>
            </w:r>
          </w:p>
        </w:tc>
        <w:tc>
          <w:tcPr>
            <w:tcW w:w="468" w:type="pct"/>
            <w:vAlign w:val="center"/>
          </w:tcPr>
          <w:p w14:paraId="4318D2A0" w14:textId="77777777" w:rsidR="00235F12" w:rsidRPr="00E73F4B"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377E1">
              <w:rPr>
                <w:rFonts w:ascii="Times New Roman" w:hAnsi="Times New Roman" w:cs="Times New Roman"/>
                <w:b/>
                <w:bCs/>
                <w:sz w:val="18"/>
                <w:szCs w:val="18"/>
              </w:rPr>
              <w:t>Group (</w:t>
            </w:r>
            <w:r>
              <w:rPr>
                <w:rFonts w:ascii="Times New Roman" w:hAnsi="Times New Roman" w:cs="Times New Roman"/>
                <w:b/>
                <w:bCs/>
                <w:sz w:val="18"/>
                <w:szCs w:val="18"/>
              </w:rPr>
              <w:t>1</w:t>
            </w:r>
            <w:r w:rsidRPr="008377E1">
              <w:rPr>
                <w:rFonts w:ascii="Times New Roman" w:hAnsi="Times New Roman" w:cs="Times New Roman"/>
                <w:b/>
                <w:bCs/>
                <w:sz w:val="18"/>
                <w:szCs w:val="18"/>
              </w:rPr>
              <w:t>)</w:t>
            </w:r>
          </w:p>
        </w:tc>
        <w:tc>
          <w:tcPr>
            <w:tcW w:w="496" w:type="pct"/>
            <w:gridSpan w:val="2"/>
            <w:vAlign w:val="center"/>
          </w:tcPr>
          <w:p w14:paraId="2A552529"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56.13</w:t>
            </w:r>
          </w:p>
        </w:tc>
        <w:tc>
          <w:tcPr>
            <w:tcW w:w="456" w:type="pct"/>
            <w:vAlign w:val="center"/>
          </w:tcPr>
          <w:p w14:paraId="1F7F51FD"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1.27</w:t>
            </w:r>
          </w:p>
        </w:tc>
        <w:tc>
          <w:tcPr>
            <w:tcW w:w="612" w:type="pct"/>
            <w:vAlign w:val="center"/>
            <w:hideMark/>
          </w:tcPr>
          <w:p w14:paraId="7279244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55.6</w:t>
            </w:r>
          </w:p>
        </w:tc>
        <w:tc>
          <w:tcPr>
            <w:tcW w:w="410" w:type="pct"/>
            <w:vAlign w:val="center"/>
            <w:hideMark/>
          </w:tcPr>
          <w:p w14:paraId="2C72DCE4"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55.3</w:t>
            </w:r>
          </w:p>
        </w:tc>
        <w:tc>
          <w:tcPr>
            <w:tcW w:w="412" w:type="pct"/>
            <w:vAlign w:val="center"/>
            <w:hideMark/>
          </w:tcPr>
          <w:p w14:paraId="4D90E9C6"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56.1</w:t>
            </w:r>
          </w:p>
        </w:tc>
        <w:tc>
          <w:tcPr>
            <w:tcW w:w="410" w:type="pct"/>
            <w:vAlign w:val="center"/>
          </w:tcPr>
          <w:p w14:paraId="4B652DB1"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55.1</w:t>
            </w:r>
          </w:p>
        </w:tc>
        <w:tc>
          <w:tcPr>
            <w:tcW w:w="412" w:type="pct"/>
            <w:vAlign w:val="center"/>
          </w:tcPr>
          <w:p w14:paraId="0396B43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59.0</w:t>
            </w:r>
          </w:p>
        </w:tc>
        <w:tc>
          <w:tcPr>
            <w:tcW w:w="648" w:type="pct"/>
            <w:vMerge w:val="restart"/>
            <w:vAlign w:val="center"/>
            <w:hideMark/>
          </w:tcPr>
          <w:p w14:paraId="5590315B"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b/>
                <w:bCs/>
                <w:sz w:val="18"/>
                <w:szCs w:val="18"/>
              </w:rPr>
              <w:t>0.003**</w:t>
            </w:r>
          </w:p>
          <w:p w14:paraId="17C24BEC" w14:textId="71ABDED4"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1-2</w:t>
            </w:r>
            <w:r w:rsidRPr="00304CA5">
              <w:rPr>
                <w:rFonts w:ascii="Times New Roman" w:hAnsi="Times New Roman" w:cs="Times New Roman"/>
                <w:b/>
                <w:bCs/>
                <w:sz w:val="18"/>
                <w:szCs w:val="18"/>
              </w:rPr>
              <w:t>=</w:t>
            </w:r>
            <w:r w:rsidRPr="00304CA5">
              <w:rPr>
                <w:rFonts w:ascii="Times New Roman" w:hAnsi="Times New Roman" w:cs="Times New Roman"/>
                <w:sz w:val="18"/>
                <w:szCs w:val="18"/>
              </w:rPr>
              <w:t>0.117</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1-3</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p>
          <w:p w14:paraId="13E76ABD"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1-4</w:t>
            </w:r>
            <w:r w:rsidRPr="00304CA5">
              <w:rPr>
                <w:rFonts w:ascii="Times New Roman" w:hAnsi="Times New Roman" w:cs="Times New Roman"/>
                <w:b/>
                <w:bCs/>
                <w:sz w:val="18"/>
                <w:szCs w:val="18"/>
              </w:rPr>
              <w:t>=0.008</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2-3</w:t>
            </w:r>
            <w:r w:rsidRPr="00304CA5">
              <w:rPr>
                <w:rFonts w:ascii="Times New Roman" w:hAnsi="Times New Roman" w:cs="Times New Roman"/>
                <w:b/>
                <w:bCs/>
                <w:sz w:val="18"/>
                <w:szCs w:val="18"/>
              </w:rPr>
              <w:t>=</w:t>
            </w:r>
            <w:r w:rsidRPr="00304CA5">
              <w:rPr>
                <w:rFonts w:ascii="Times New Roman" w:hAnsi="Times New Roman" w:cs="Times New Roman"/>
                <w:sz w:val="18"/>
                <w:szCs w:val="18"/>
              </w:rPr>
              <w:t>0.321</w:t>
            </w:r>
          </w:p>
          <w:p w14:paraId="2FF68B82" w14:textId="77777777" w:rsidR="00235F12" w:rsidRPr="006E060D"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2-4</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3-4</w:t>
            </w:r>
            <w:r w:rsidRPr="00304CA5">
              <w:rPr>
                <w:rFonts w:ascii="Times New Roman" w:hAnsi="Times New Roman" w:cs="Times New Roman"/>
                <w:b/>
                <w:bCs/>
                <w:sz w:val="18"/>
                <w:szCs w:val="18"/>
              </w:rPr>
              <w:t>=0.025</w:t>
            </w:r>
          </w:p>
        </w:tc>
      </w:tr>
      <w:tr w:rsidR="004D0C5A" w:rsidRPr="006E060D" w14:paraId="769A487B"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2464E470" w14:textId="77777777" w:rsidR="00235F12" w:rsidRPr="00C57BB5" w:rsidRDefault="00235F12" w:rsidP="00423FA0">
            <w:pPr>
              <w:autoSpaceDE w:val="0"/>
              <w:autoSpaceDN w:val="0"/>
              <w:adjustRightInd w:val="0"/>
              <w:ind w:left="60" w:right="60"/>
              <w:jc w:val="center"/>
              <w:rPr>
                <w:rFonts w:ascii="Times New Roman" w:hAnsi="Times New Roman" w:cs="Times New Roman"/>
                <w:color w:val="121212"/>
                <w:sz w:val="20"/>
                <w:szCs w:val="20"/>
              </w:rPr>
            </w:pPr>
          </w:p>
        </w:tc>
        <w:tc>
          <w:tcPr>
            <w:tcW w:w="468" w:type="pct"/>
            <w:vAlign w:val="center"/>
          </w:tcPr>
          <w:p w14:paraId="4D9C5568"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2</w:t>
            </w:r>
            <w:r w:rsidRPr="008377E1">
              <w:rPr>
                <w:rFonts w:ascii="Times New Roman" w:hAnsi="Times New Roman" w:cs="Times New Roman"/>
                <w:b/>
                <w:bCs/>
                <w:sz w:val="18"/>
                <w:szCs w:val="18"/>
              </w:rPr>
              <w:t>)</w:t>
            </w:r>
          </w:p>
        </w:tc>
        <w:tc>
          <w:tcPr>
            <w:tcW w:w="496" w:type="pct"/>
            <w:gridSpan w:val="2"/>
            <w:vAlign w:val="center"/>
          </w:tcPr>
          <w:p w14:paraId="018563E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56.92</w:t>
            </w:r>
          </w:p>
        </w:tc>
        <w:tc>
          <w:tcPr>
            <w:tcW w:w="456" w:type="pct"/>
            <w:vAlign w:val="center"/>
          </w:tcPr>
          <w:p w14:paraId="7555743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1.99</w:t>
            </w:r>
          </w:p>
        </w:tc>
        <w:tc>
          <w:tcPr>
            <w:tcW w:w="612" w:type="pct"/>
            <w:vAlign w:val="center"/>
          </w:tcPr>
          <w:p w14:paraId="6A578A9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55.9</w:t>
            </w:r>
          </w:p>
        </w:tc>
        <w:tc>
          <w:tcPr>
            <w:tcW w:w="410" w:type="pct"/>
            <w:vAlign w:val="center"/>
          </w:tcPr>
          <w:p w14:paraId="3B6D965B"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55.7</w:t>
            </w:r>
          </w:p>
        </w:tc>
        <w:tc>
          <w:tcPr>
            <w:tcW w:w="412" w:type="pct"/>
            <w:vAlign w:val="center"/>
          </w:tcPr>
          <w:p w14:paraId="762DFB6B"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58.0</w:t>
            </w:r>
          </w:p>
        </w:tc>
        <w:tc>
          <w:tcPr>
            <w:tcW w:w="410" w:type="pct"/>
            <w:vAlign w:val="center"/>
          </w:tcPr>
          <w:p w14:paraId="5D133A5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55.0</w:t>
            </w:r>
          </w:p>
        </w:tc>
        <w:tc>
          <w:tcPr>
            <w:tcW w:w="412" w:type="pct"/>
            <w:vAlign w:val="center"/>
          </w:tcPr>
          <w:p w14:paraId="45B13EC5"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62.0</w:t>
            </w:r>
          </w:p>
        </w:tc>
        <w:tc>
          <w:tcPr>
            <w:tcW w:w="648" w:type="pct"/>
            <w:vMerge/>
            <w:vAlign w:val="center"/>
          </w:tcPr>
          <w:p w14:paraId="183CFBF3"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55070628"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17DB8129" w14:textId="77777777" w:rsidR="00235F12" w:rsidRPr="00C57BB5" w:rsidRDefault="00235F12" w:rsidP="00423FA0">
            <w:pPr>
              <w:autoSpaceDE w:val="0"/>
              <w:autoSpaceDN w:val="0"/>
              <w:adjustRightInd w:val="0"/>
              <w:ind w:left="60" w:right="60"/>
              <w:jc w:val="center"/>
              <w:rPr>
                <w:rFonts w:ascii="Times New Roman" w:hAnsi="Times New Roman" w:cs="Times New Roman"/>
                <w:color w:val="121212"/>
                <w:sz w:val="20"/>
                <w:szCs w:val="20"/>
              </w:rPr>
            </w:pPr>
          </w:p>
        </w:tc>
        <w:tc>
          <w:tcPr>
            <w:tcW w:w="468" w:type="pct"/>
            <w:vAlign w:val="center"/>
          </w:tcPr>
          <w:p w14:paraId="5AF6B9B7"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3</w:t>
            </w:r>
            <w:r w:rsidRPr="008377E1">
              <w:rPr>
                <w:rFonts w:ascii="Times New Roman" w:hAnsi="Times New Roman" w:cs="Times New Roman"/>
                <w:b/>
                <w:bCs/>
                <w:sz w:val="18"/>
                <w:szCs w:val="18"/>
              </w:rPr>
              <w:t>)</w:t>
            </w:r>
          </w:p>
        </w:tc>
        <w:tc>
          <w:tcPr>
            <w:tcW w:w="496" w:type="pct"/>
            <w:gridSpan w:val="2"/>
            <w:vAlign w:val="center"/>
          </w:tcPr>
          <w:p w14:paraId="463F87A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55.82</w:t>
            </w:r>
          </w:p>
        </w:tc>
        <w:tc>
          <w:tcPr>
            <w:tcW w:w="456" w:type="pct"/>
            <w:vAlign w:val="center"/>
          </w:tcPr>
          <w:p w14:paraId="0E451520"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0.32</w:t>
            </w:r>
          </w:p>
        </w:tc>
        <w:tc>
          <w:tcPr>
            <w:tcW w:w="612" w:type="pct"/>
            <w:vAlign w:val="center"/>
          </w:tcPr>
          <w:p w14:paraId="0B482A38"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55.7</w:t>
            </w:r>
          </w:p>
        </w:tc>
        <w:tc>
          <w:tcPr>
            <w:tcW w:w="410" w:type="pct"/>
            <w:vAlign w:val="center"/>
          </w:tcPr>
          <w:p w14:paraId="6A8865A8"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55.6</w:t>
            </w:r>
          </w:p>
        </w:tc>
        <w:tc>
          <w:tcPr>
            <w:tcW w:w="412" w:type="pct"/>
            <w:vAlign w:val="center"/>
          </w:tcPr>
          <w:p w14:paraId="0DB0CA88"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55.9</w:t>
            </w:r>
          </w:p>
        </w:tc>
        <w:tc>
          <w:tcPr>
            <w:tcW w:w="410" w:type="pct"/>
            <w:vAlign w:val="center"/>
          </w:tcPr>
          <w:p w14:paraId="5256777B"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55.5</w:t>
            </w:r>
          </w:p>
        </w:tc>
        <w:tc>
          <w:tcPr>
            <w:tcW w:w="412" w:type="pct"/>
            <w:vAlign w:val="center"/>
          </w:tcPr>
          <w:p w14:paraId="5A328CBD"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56.5</w:t>
            </w:r>
          </w:p>
        </w:tc>
        <w:tc>
          <w:tcPr>
            <w:tcW w:w="648" w:type="pct"/>
            <w:vMerge/>
            <w:vAlign w:val="center"/>
          </w:tcPr>
          <w:p w14:paraId="2D669FA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D0C5A" w:rsidRPr="006E060D" w14:paraId="778D7595"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0984137D" w14:textId="77777777" w:rsidR="00235F12" w:rsidRPr="00C57BB5" w:rsidRDefault="00235F12" w:rsidP="00423FA0">
            <w:pPr>
              <w:autoSpaceDE w:val="0"/>
              <w:autoSpaceDN w:val="0"/>
              <w:adjustRightInd w:val="0"/>
              <w:ind w:left="60" w:right="60"/>
              <w:jc w:val="center"/>
              <w:rPr>
                <w:rFonts w:ascii="Times New Roman" w:hAnsi="Times New Roman" w:cs="Times New Roman"/>
                <w:color w:val="121212"/>
                <w:sz w:val="20"/>
                <w:szCs w:val="20"/>
              </w:rPr>
            </w:pPr>
          </w:p>
        </w:tc>
        <w:tc>
          <w:tcPr>
            <w:tcW w:w="468" w:type="pct"/>
            <w:vAlign w:val="center"/>
          </w:tcPr>
          <w:p w14:paraId="2AEC458E"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4</w:t>
            </w:r>
            <w:r w:rsidRPr="008377E1">
              <w:rPr>
                <w:rFonts w:ascii="Times New Roman" w:hAnsi="Times New Roman" w:cs="Times New Roman"/>
                <w:b/>
                <w:bCs/>
                <w:sz w:val="18"/>
                <w:szCs w:val="18"/>
              </w:rPr>
              <w:t>)</w:t>
            </w:r>
          </w:p>
        </w:tc>
        <w:tc>
          <w:tcPr>
            <w:tcW w:w="496" w:type="pct"/>
            <w:gridSpan w:val="2"/>
            <w:vAlign w:val="center"/>
          </w:tcPr>
          <w:p w14:paraId="45351354"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57.58</w:t>
            </w:r>
          </w:p>
        </w:tc>
        <w:tc>
          <w:tcPr>
            <w:tcW w:w="456" w:type="pct"/>
            <w:vAlign w:val="center"/>
          </w:tcPr>
          <w:p w14:paraId="203366F1"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2.39</w:t>
            </w:r>
          </w:p>
        </w:tc>
        <w:tc>
          <w:tcPr>
            <w:tcW w:w="612" w:type="pct"/>
            <w:vAlign w:val="center"/>
          </w:tcPr>
          <w:p w14:paraId="6F00F4D4"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56.7</w:t>
            </w:r>
          </w:p>
        </w:tc>
        <w:tc>
          <w:tcPr>
            <w:tcW w:w="410" w:type="pct"/>
            <w:vAlign w:val="center"/>
          </w:tcPr>
          <w:p w14:paraId="12BD5B96"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2" w:type="pct"/>
            <w:vAlign w:val="center"/>
          </w:tcPr>
          <w:p w14:paraId="056F32A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58.5</w:t>
            </w:r>
          </w:p>
        </w:tc>
        <w:tc>
          <w:tcPr>
            <w:tcW w:w="410" w:type="pct"/>
            <w:vAlign w:val="center"/>
          </w:tcPr>
          <w:p w14:paraId="15F6199E"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55.5</w:t>
            </w:r>
          </w:p>
        </w:tc>
        <w:tc>
          <w:tcPr>
            <w:tcW w:w="412" w:type="pct"/>
            <w:vAlign w:val="center"/>
          </w:tcPr>
          <w:p w14:paraId="1D416EAF"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63.0</w:t>
            </w:r>
          </w:p>
        </w:tc>
        <w:tc>
          <w:tcPr>
            <w:tcW w:w="648" w:type="pct"/>
            <w:vMerge/>
            <w:vAlign w:val="center"/>
          </w:tcPr>
          <w:p w14:paraId="19F8C43F"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11E4A534"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restart"/>
            <w:vAlign w:val="center"/>
            <w:hideMark/>
          </w:tcPr>
          <w:p w14:paraId="08E4C706"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r w:rsidRPr="00C57BB5">
              <w:rPr>
                <w:rFonts w:ascii="Times New Roman" w:hAnsi="Times New Roman" w:cs="Times New Roman"/>
                <w:color w:val="121212"/>
                <w:sz w:val="20"/>
                <w:szCs w:val="20"/>
              </w:rPr>
              <w:t>At 6</w:t>
            </w:r>
            <w:r w:rsidRPr="00AD5D47">
              <w:rPr>
                <w:rFonts w:ascii="Times New Roman" w:hAnsi="Times New Roman" w:cs="Times New Roman"/>
                <w:color w:val="121212"/>
                <w:sz w:val="20"/>
                <w:szCs w:val="20"/>
                <w:vertAlign w:val="superscript"/>
              </w:rPr>
              <w:t>th</w:t>
            </w:r>
            <w:r>
              <w:rPr>
                <w:rFonts w:ascii="Times New Roman" w:hAnsi="Times New Roman" w:cs="Times New Roman"/>
                <w:color w:val="121212"/>
                <w:sz w:val="20"/>
                <w:szCs w:val="20"/>
              </w:rPr>
              <w:t xml:space="preserve"> </w:t>
            </w:r>
            <w:r w:rsidRPr="00C57BB5">
              <w:rPr>
                <w:rFonts w:ascii="Times New Roman" w:hAnsi="Times New Roman" w:cs="Times New Roman"/>
                <w:color w:val="121212"/>
                <w:sz w:val="20"/>
                <w:szCs w:val="20"/>
              </w:rPr>
              <w:t>month</w:t>
            </w:r>
          </w:p>
        </w:tc>
        <w:tc>
          <w:tcPr>
            <w:tcW w:w="468" w:type="pct"/>
            <w:vAlign w:val="center"/>
          </w:tcPr>
          <w:p w14:paraId="4BB3E840"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1</w:t>
            </w:r>
            <w:r w:rsidRPr="008377E1">
              <w:rPr>
                <w:rFonts w:ascii="Times New Roman" w:hAnsi="Times New Roman" w:cs="Times New Roman"/>
                <w:b/>
                <w:bCs/>
                <w:sz w:val="18"/>
                <w:szCs w:val="18"/>
              </w:rPr>
              <w:t>)</w:t>
            </w:r>
          </w:p>
        </w:tc>
        <w:tc>
          <w:tcPr>
            <w:tcW w:w="496" w:type="pct"/>
            <w:gridSpan w:val="2"/>
            <w:vAlign w:val="center"/>
          </w:tcPr>
          <w:p w14:paraId="4FE1CC7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55.48</w:t>
            </w:r>
          </w:p>
        </w:tc>
        <w:tc>
          <w:tcPr>
            <w:tcW w:w="456" w:type="pct"/>
            <w:vAlign w:val="center"/>
          </w:tcPr>
          <w:p w14:paraId="246EF789"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1.41</w:t>
            </w:r>
          </w:p>
        </w:tc>
        <w:tc>
          <w:tcPr>
            <w:tcW w:w="612" w:type="pct"/>
            <w:vAlign w:val="center"/>
            <w:hideMark/>
          </w:tcPr>
          <w:p w14:paraId="501AFC9D"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55.1</w:t>
            </w:r>
          </w:p>
        </w:tc>
        <w:tc>
          <w:tcPr>
            <w:tcW w:w="410" w:type="pct"/>
            <w:vAlign w:val="center"/>
            <w:hideMark/>
          </w:tcPr>
          <w:p w14:paraId="3659F591"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54.5</w:t>
            </w:r>
          </w:p>
        </w:tc>
        <w:tc>
          <w:tcPr>
            <w:tcW w:w="412" w:type="pct"/>
            <w:vAlign w:val="center"/>
            <w:hideMark/>
          </w:tcPr>
          <w:p w14:paraId="342E900C"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0" w:type="pct"/>
            <w:vAlign w:val="center"/>
          </w:tcPr>
          <w:p w14:paraId="7958E410"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53.6</w:t>
            </w:r>
          </w:p>
        </w:tc>
        <w:tc>
          <w:tcPr>
            <w:tcW w:w="412" w:type="pct"/>
            <w:vAlign w:val="center"/>
          </w:tcPr>
          <w:p w14:paraId="6232337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58.0</w:t>
            </w:r>
          </w:p>
        </w:tc>
        <w:tc>
          <w:tcPr>
            <w:tcW w:w="648" w:type="pct"/>
            <w:vMerge w:val="restart"/>
            <w:vAlign w:val="center"/>
            <w:hideMark/>
          </w:tcPr>
          <w:p w14:paraId="67271186"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b/>
                <w:bCs/>
                <w:sz w:val="18"/>
                <w:szCs w:val="18"/>
              </w:rPr>
              <w:t>0.001**</w:t>
            </w:r>
          </w:p>
          <w:p w14:paraId="60D83C09" w14:textId="699058A2"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1-2</w:t>
            </w:r>
            <w:r w:rsidRPr="00304CA5">
              <w:rPr>
                <w:rFonts w:ascii="Times New Roman" w:hAnsi="Times New Roman" w:cs="Times New Roman"/>
                <w:b/>
                <w:bCs/>
                <w:sz w:val="18"/>
                <w:szCs w:val="18"/>
              </w:rPr>
              <w:t>=0.001</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1-3</w:t>
            </w:r>
            <w:r w:rsidRPr="00304CA5">
              <w:rPr>
                <w:rFonts w:ascii="Times New Roman" w:hAnsi="Times New Roman" w:cs="Times New Roman"/>
                <w:b/>
                <w:bCs/>
                <w:sz w:val="18"/>
                <w:szCs w:val="18"/>
              </w:rPr>
              <w:t>=0.021</w:t>
            </w:r>
          </w:p>
          <w:p w14:paraId="628416DC"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1-4</w:t>
            </w:r>
            <w:r w:rsidRPr="00304CA5">
              <w:rPr>
                <w:rFonts w:ascii="Times New Roman" w:hAnsi="Times New Roman" w:cs="Times New Roman"/>
                <w:b/>
                <w:bCs/>
                <w:sz w:val="18"/>
                <w:szCs w:val="18"/>
              </w:rPr>
              <w:t>=0.021</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2-3</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p>
          <w:p w14:paraId="006DDDDA" w14:textId="77777777" w:rsidR="00235F12" w:rsidRPr="006E060D"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2-4</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3-4</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p>
        </w:tc>
      </w:tr>
      <w:tr w:rsidR="004D0C5A" w:rsidRPr="006E060D" w14:paraId="2AB8F151"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0BA2676E"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70669407"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2</w:t>
            </w:r>
            <w:r w:rsidRPr="008377E1">
              <w:rPr>
                <w:rFonts w:ascii="Times New Roman" w:hAnsi="Times New Roman" w:cs="Times New Roman"/>
                <w:b/>
                <w:bCs/>
                <w:sz w:val="18"/>
                <w:szCs w:val="18"/>
              </w:rPr>
              <w:t>)</w:t>
            </w:r>
          </w:p>
        </w:tc>
        <w:tc>
          <w:tcPr>
            <w:tcW w:w="496" w:type="pct"/>
            <w:gridSpan w:val="2"/>
            <w:vAlign w:val="center"/>
          </w:tcPr>
          <w:p w14:paraId="2A49C76B"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57.00</w:t>
            </w:r>
          </w:p>
        </w:tc>
        <w:tc>
          <w:tcPr>
            <w:tcW w:w="456" w:type="pct"/>
            <w:vAlign w:val="center"/>
          </w:tcPr>
          <w:p w14:paraId="6B742145"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2.01</w:t>
            </w:r>
          </w:p>
        </w:tc>
        <w:tc>
          <w:tcPr>
            <w:tcW w:w="612" w:type="pct"/>
            <w:vAlign w:val="center"/>
          </w:tcPr>
          <w:p w14:paraId="612D4641"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56.1</w:t>
            </w:r>
          </w:p>
        </w:tc>
        <w:tc>
          <w:tcPr>
            <w:tcW w:w="410" w:type="pct"/>
            <w:vAlign w:val="center"/>
          </w:tcPr>
          <w:p w14:paraId="20ED24E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2" w:type="pct"/>
            <w:vAlign w:val="center"/>
          </w:tcPr>
          <w:p w14:paraId="44AE4E7F"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57.5</w:t>
            </w:r>
          </w:p>
        </w:tc>
        <w:tc>
          <w:tcPr>
            <w:tcW w:w="410" w:type="pct"/>
            <w:vAlign w:val="center"/>
          </w:tcPr>
          <w:p w14:paraId="6E063307"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55.5</w:t>
            </w:r>
          </w:p>
        </w:tc>
        <w:tc>
          <w:tcPr>
            <w:tcW w:w="412" w:type="pct"/>
            <w:vAlign w:val="center"/>
          </w:tcPr>
          <w:p w14:paraId="7EE08C06"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62.7</w:t>
            </w:r>
          </w:p>
        </w:tc>
        <w:tc>
          <w:tcPr>
            <w:tcW w:w="648" w:type="pct"/>
            <w:vMerge/>
            <w:vAlign w:val="center"/>
          </w:tcPr>
          <w:p w14:paraId="5968F62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41F347DA"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140E8985"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0CBE65AC"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3</w:t>
            </w:r>
            <w:r w:rsidRPr="008377E1">
              <w:rPr>
                <w:rFonts w:ascii="Times New Roman" w:hAnsi="Times New Roman" w:cs="Times New Roman"/>
                <w:b/>
                <w:bCs/>
                <w:sz w:val="18"/>
                <w:szCs w:val="18"/>
              </w:rPr>
              <w:t>)</w:t>
            </w:r>
          </w:p>
        </w:tc>
        <w:tc>
          <w:tcPr>
            <w:tcW w:w="496" w:type="pct"/>
            <w:gridSpan w:val="2"/>
            <w:vAlign w:val="center"/>
          </w:tcPr>
          <w:p w14:paraId="7F4F2D5B"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56.15</w:t>
            </w:r>
          </w:p>
        </w:tc>
        <w:tc>
          <w:tcPr>
            <w:tcW w:w="456" w:type="pct"/>
            <w:vAlign w:val="center"/>
          </w:tcPr>
          <w:p w14:paraId="1B8BECE7"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0.49</w:t>
            </w:r>
          </w:p>
        </w:tc>
        <w:tc>
          <w:tcPr>
            <w:tcW w:w="612" w:type="pct"/>
            <w:vAlign w:val="center"/>
          </w:tcPr>
          <w:p w14:paraId="620C22AC"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55.9</w:t>
            </w:r>
          </w:p>
        </w:tc>
        <w:tc>
          <w:tcPr>
            <w:tcW w:w="410" w:type="pct"/>
            <w:vAlign w:val="center"/>
          </w:tcPr>
          <w:p w14:paraId="069B08A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2" w:type="pct"/>
            <w:vAlign w:val="center"/>
          </w:tcPr>
          <w:p w14:paraId="04A71B20"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56.2</w:t>
            </w:r>
          </w:p>
        </w:tc>
        <w:tc>
          <w:tcPr>
            <w:tcW w:w="410" w:type="pct"/>
            <w:vAlign w:val="center"/>
          </w:tcPr>
          <w:p w14:paraId="19C86029"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2" w:type="pct"/>
            <w:vAlign w:val="center"/>
          </w:tcPr>
          <w:p w14:paraId="371DCDF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57.3</w:t>
            </w:r>
          </w:p>
        </w:tc>
        <w:tc>
          <w:tcPr>
            <w:tcW w:w="648" w:type="pct"/>
            <w:vMerge/>
            <w:vAlign w:val="center"/>
          </w:tcPr>
          <w:p w14:paraId="066092FA"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D0C5A" w:rsidRPr="006E060D" w14:paraId="565E1ABF"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2D185787"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19E2AE03"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4</w:t>
            </w:r>
            <w:r w:rsidRPr="008377E1">
              <w:rPr>
                <w:rFonts w:ascii="Times New Roman" w:hAnsi="Times New Roman" w:cs="Times New Roman"/>
                <w:b/>
                <w:bCs/>
                <w:sz w:val="18"/>
                <w:szCs w:val="18"/>
              </w:rPr>
              <w:t>)</w:t>
            </w:r>
          </w:p>
        </w:tc>
        <w:tc>
          <w:tcPr>
            <w:tcW w:w="496" w:type="pct"/>
            <w:gridSpan w:val="2"/>
            <w:vAlign w:val="center"/>
          </w:tcPr>
          <w:p w14:paraId="283A660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57.11</w:t>
            </w:r>
          </w:p>
        </w:tc>
        <w:tc>
          <w:tcPr>
            <w:tcW w:w="456" w:type="pct"/>
            <w:vAlign w:val="center"/>
          </w:tcPr>
          <w:p w14:paraId="6368280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2.45</w:t>
            </w:r>
          </w:p>
        </w:tc>
        <w:tc>
          <w:tcPr>
            <w:tcW w:w="612" w:type="pct"/>
            <w:vAlign w:val="center"/>
          </w:tcPr>
          <w:p w14:paraId="2DD565F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56.3</w:t>
            </w:r>
          </w:p>
        </w:tc>
        <w:tc>
          <w:tcPr>
            <w:tcW w:w="410" w:type="pct"/>
            <w:vAlign w:val="center"/>
          </w:tcPr>
          <w:p w14:paraId="6EB4CBFA"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55.4</w:t>
            </w:r>
          </w:p>
        </w:tc>
        <w:tc>
          <w:tcPr>
            <w:tcW w:w="412" w:type="pct"/>
            <w:vAlign w:val="center"/>
          </w:tcPr>
          <w:p w14:paraId="2902389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58.1</w:t>
            </w:r>
          </w:p>
        </w:tc>
        <w:tc>
          <w:tcPr>
            <w:tcW w:w="410" w:type="pct"/>
            <w:vAlign w:val="center"/>
          </w:tcPr>
          <w:p w14:paraId="55411187"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54.4</w:t>
            </w:r>
          </w:p>
        </w:tc>
        <w:tc>
          <w:tcPr>
            <w:tcW w:w="412" w:type="pct"/>
            <w:vAlign w:val="center"/>
          </w:tcPr>
          <w:p w14:paraId="3C4A55B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62.5</w:t>
            </w:r>
          </w:p>
        </w:tc>
        <w:tc>
          <w:tcPr>
            <w:tcW w:w="648" w:type="pct"/>
            <w:vMerge/>
            <w:vAlign w:val="center"/>
          </w:tcPr>
          <w:p w14:paraId="3747BE59"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1398A291"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restart"/>
            <w:vAlign w:val="center"/>
            <w:hideMark/>
          </w:tcPr>
          <w:p w14:paraId="7334F6FD"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r w:rsidRPr="00C57BB5">
              <w:rPr>
                <w:rFonts w:ascii="Times New Roman" w:hAnsi="Times New Roman" w:cs="Times New Roman"/>
                <w:color w:val="121212"/>
                <w:sz w:val="20"/>
                <w:szCs w:val="20"/>
              </w:rPr>
              <w:t>At 1 year</w:t>
            </w:r>
          </w:p>
        </w:tc>
        <w:tc>
          <w:tcPr>
            <w:tcW w:w="468" w:type="pct"/>
            <w:vAlign w:val="center"/>
          </w:tcPr>
          <w:p w14:paraId="51F42D70"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1</w:t>
            </w:r>
            <w:r w:rsidRPr="008377E1">
              <w:rPr>
                <w:rFonts w:ascii="Times New Roman" w:hAnsi="Times New Roman" w:cs="Times New Roman"/>
                <w:b/>
                <w:bCs/>
                <w:sz w:val="18"/>
                <w:szCs w:val="18"/>
              </w:rPr>
              <w:t>)</w:t>
            </w:r>
          </w:p>
        </w:tc>
        <w:tc>
          <w:tcPr>
            <w:tcW w:w="496" w:type="pct"/>
            <w:gridSpan w:val="2"/>
            <w:vAlign w:val="center"/>
          </w:tcPr>
          <w:p w14:paraId="1F80005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55.15</w:t>
            </w:r>
          </w:p>
        </w:tc>
        <w:tc>
          <w:tcPr>
            <w:tcW w:w="456" w:type="pct"/>
            <w:vAlign w:val="center"/>
          </w:tcPr>
          <w:p w14:paraId="0C993371"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1.62</w:t>
            </w:r>
          </w:p>
        </w:tc>
        <w:tc>
          <w:tcPr>
            <w:tcW w:w="612" w:type="pct"/>
            <w:vAlign w:val="center"/>
            <w:hideMark/>
          </w:tcPr>
          <w:p w14:paraId="6C572DD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55.0</w:t>
            </w:r>
          </w:p>
        </w:tc>
        <w:tc>
          <w:tcPr>
            <w:tcW w:w="410" w:type="pct"/>
            <w:vAlign w:val="center"/>
            <w:hideMark/>
          </w:tcPr>
          <w:p w14:paraId="6787AA36"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54.2</w:t>
            </w:r>
          </w:p>
        </w:tc>
        <w:tc>
          <w:tcPr>
            <w:tcW w:w="412" w:type="pct"/>
            <w:vAlign w:val="center"/>
            <w:hideMark/>
          </w:tcPr>
          <w:p w14:paraId="5A99D087"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0" w:type="pct"/>
            <w:vAlign w:val="center"/>
          </w:tcPr>
          <w:p w14:paraId="59E1AEF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53.0</w:t>
            </w:r>
          </w:p>
        </w:tc>
        <w:tc>
          <w:tcPr>
            <w:tcW w:w="412" w:type="pct"/>
            <w:vAlign w:val="center"/>
          </w:tcPr>
          <w:p w14:paraId="42035251"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57.9</w:t>
            </w:r>
          </w:p>
        </w:tc>
        <w:tc>
          <w:tcPr>
            <w:tcW w:w="648" w:type="pct"/>
            <w:vMerge w:val="restart"/>
            <w:vAlign w:val="center"/>
            <w:hideMark/>
          </w:tcPr>
          <w:p w14:paraId="1BEA4F64"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b/>
                <w:bCs/>
                <w:sz w:val="18"/>
                <w:szCs w:val="18"/>
              </w:rPr>
              <w:t>&lt;0.001**</w:t>
            </w:r>
          </w:p>
          <w:p w14:paraId="06F46C06" w14:textId="61A53529"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1-2</w:t>
            </w:r>
            <w:r w:rsidRPr="00304CA5">
              <w:rPr>
                <w:rFonts w:ascii="Times New Roman" w:hAnsi="Times New Roman" w:cs="Times New Roman"/>
                <w:b/>
                <w:bCs/>
                <w:sz w:val="18"/>
                <w:szCs w:val="18"/>
              </w:rPr>
              <w:t>&lt;0.001</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1-3</w:t>
            </w:r>
            <w:r w:rsidRPr="00304CA5">
              <w:rPr>
                <w:rFonts w:ascii="Times New Roman" w:hAnsi="Times New Roman" w:cs="Times New Roman"/>
                <w:b/>
                <w:bCs/>
                <w:sz w:val="18"/>
                <w:szCs w:val="18"/>
              </w:rPr>
              <w:t>=</w:t>
            </w:r>
            <w:r w:rsidRPr="00304CA5">
              <w:rPr>
                <w:rFonts w:ascii="Times New Roman" w:hAnsi="Times New Roman" w:cs="Times New Roman"/>
                <w:sz w:val="18"/>
                <w:szCs w:val="18"/>
              </w:rPr>
              <w:t>0.106</w:t>
            </w:r>
          </w:p>
          <w:p w14:paraId="69E0DA99"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1-4</w:t>
            </w:r>
            <w:r w:rsidRPr="00304CA5">
              <w:rPr>
                <w:rFonts w:ascii="Times New Roman" w:hAnsi="Times New Roman" w:cs="Times New Roman"/>
                <w:b/>
                <w:bCs/>
                <w:sz w:val="18"/>
                <w:szCs w:val="18"/>
              </w:rPr>
              <w:t>=</w:t>
            </w:r>
            <w:r w:rsidRPr="00304CA5">
              <w:rPr>
                <w:rFonts w:ascii="Times New Roman" w:hAnsi="Times New Roman" w:cs="Times New Roman"/>
                <w:sz w:val="18"/>
                <w:szCs w:val="18"/>
              </w:rPr>
              <w:t>0.358</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2-3</w:t>
            </w:r>
            <w:r w:rsidRPr="00304CA5">
              <w:rPr>
                <w:rFonts w:ascii="Times New Roman" w:hAnsi="Times New Roman" w:cs="Times New Roman"/>
                <w:b/>
                <w:bCs/>
                <w:sz w:val="18"/>
                <w:szCs w:val="18"/>
              </w:rPr>
              <w:t>=</w:t>
            </w:r>
            <w:r w:rsidRPr="00304CA5">
              <w:rPr>
                <w:rFonts w:ascii="Times New Roman" w:hAnsi="Times New Roman" w:cs="Times New Roman"/>
                <w:sz w:val="18"/>
                <w:szCs w:val="18"/>
              </w:rPr>
              <w:t>0.331</w:t>
            </w:r>
          </w:p>
          <w:p w14:paraId="722F172A" w14:textId="77777777" w:rsidR="00235F12" w:rsidRPr="006E060D"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2-4</w:t>
            </w:r>
            <w:r w:rsidRPr="00304CA5">
              <w:rPr>
                <w:rFonts w:ascii="Times New Roman" w:hAnsi="Times New Roman" w:cs="Times New Roman"/>
                <w:b/>
                <w:bCs/>
                <w:sz w:val="18"/>
                <w:szCs w:val="18"/>
              </w:rPr>
              <w:t>=</w:t>
            </w:r>
            <w:r w:rsidRPr="00304CA5">
              <w:rPr>
                <w:rFonts w:ascii="Times New Roman" w:hAnsi="Times New Roman" w:cs="Times New Roman"/>
                <w:sz w:val="18"/>
                <w:szCs w:val="18"/>
              </w:rPr>
              <w:t>0.116</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3-4</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p>
        </w:tc>
      </w:tr>
      <w:tr w:rsidR="004D0C5A" w:rsidRPr="006E060D" w14:paraId="0D1A5D92"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61A15556"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0553BB15"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2</w:t>
            </w:r>
            <w:r w:rsidRPr="008377E1">
              <w:rPr>
                <w:rFonts w:ascii="Times New Roman" w:hAnsi="Times New Roman" w:cs="Times New Roman"/>
                <w:b/>
                <w:bCs/>
                <w:sz w:val="18"/>
                <w:szCs w:val="18"/>
              </w:rPr>
              <w:t>)</w:t>
            </w:r>
          </w:p>
        </w:tc>
        <w:tc>
          <w:tcPr>
            <w:tcW w:w="496" w:type="pct"/>
            <w:gridSpan w:val="2"/>
            <w:vAlign w:val="center"/>
          </w:tcPr>
          <w:p w14:paraId="783CCB40"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57.42</w:t>
            </w:r>
          </w:p>
        </w:tc>
        <w:tc>
          <w:tcPr>
            <w:tcW w:w="456" w:type="pct"/>
            <w:vAlign w:val="center"/>
          </w:tcPr>
          <w:p w14:paraId="4F4E400C"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2.12</w:t>
            </w:r>
          </w:p>
        </w:tc>
        <w:tc>
          <w:tcPr>
            <w:tcW w:w="612" w:type="pct"/>
            <w:vAlign w:val="center"/>
          </w:tcPr>
          <w:p w14:paraId="07FBF87C"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56.6</w:t>
            </w:r>
          </w:p>
        </w:tc>
        <w:tc>
          <w:tcPr>
            <w:tcW w:w="410" w:type="pct"/>
            <w:vAlign w:val="center"/>
          </w:tcPr>
          <w:p w14:paraId="687864A4"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55.9</w:t>
            </w:r>
          </w:p>
        </w:tc>
        <w:tc>
          <w:tcPr>
            <w:tcW w:w="412" w:type="pct"/>
            <w:vAlign w:val="center"/>
          </w:tcPr>
          <w:p w14:paraId="6DB9DF3C"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57.8</w:t>
            </w:r>
          </w:p>
        </w:tc>
        <w:tc>
          <w:tcPr>
            <w:tcW w:w="410" w:type="pct"/>
            <w:vAlign w:val="center"/>
          </w:tcPr>
          <w:p w14:paraId="0EB60413"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55.7</w:t>
            </w:r>
          </w:p>
        </w:tc>
        <w:tc>
          <w:tcPr>
            <w:tcW w:w="412" w:type="pct"/>
            <w:vAlign w:val="center"/>
          </w:tcPr>
          <w:p w14:paraId="77C7095E"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62.8</w:t>
            </w:r>
          </w:p>
        </w:tc>
        <w:tc>
          <w:tcPr>
            <w:tcW w:w="648" w:type="pct"/>
            <w:vMerge/>
            <w:vAlign w:val="center"/>
          </w:tcPr>
          <w:p w14:paraId="2ABC1911"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3AC7D2C9"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47846CF3"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3E5487FC"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3</w:t>
            </w:r>
            <w:r w:rsidRPr="008377E1">
              <w:rPr>
                <w:rFonts w:ascii="Times New Roman" w:hAnsi="Times New Roman" w:cs="Times New Roman"/>
                <w:b/>
                <w:bCs/>
                <w:sz w:val="18"/>
                <w:szCs w:val="18"/>
              </w:rPr>
              <w:t>)</w:t>
            </w:r>
          </w:p>
        </w:tc>
        <w:tc>
          <w:tcPr>
            <w:tcW w:w="496" w:type="pct"/>
            <w:gridSpan w:val="2"/>
            <w:vAlign w:val="center"/>
          </w:tcPr>
          <w:p w14:paraId="4BF1A2FE"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55.89</w:t>
            </w:r>
          </w:p>
        </w:tc>
        <w:tc>
          <w:tcPr>
            <w:tcW w:w="456" w:type="pct"/>
            <w:vAlign w:val="center"/>
          </w:tcPr>
          <w:p w14:paraId="1006B8F4"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1.32</w:t>
            </w:r>
          </w:p>
        </w:tc>
        <w:tc>
          <w:tcPr>
            <w:tcW w:w="612" w:type="pct"/>
            <w:vAlign w:val="center"/>
          </w:tcPr>
          <w:p w14:paraId="6CF21179"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56.2</w:t>
            </w:r>
          </w:p>
        </w:tc>
        <w:tc>
          <w:tcPr>
            <w:tcW w:w="410" w:type="pct"/>
            <w:vAlign w:val="center"/>
          </w:tcPr>
          <w:p w14:paraId="1D954EF0"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55.9</w:t>
            </w:r>
          </w:p>
        </w:tc>
        <w:tc>
          <w:tcPr>
            <w:tcW w:w="412" w:type="pct"/>
            <w:vAlign w:val="center"/>
          </w:tcPr>
          <w:p w14:paraId="040209F5"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56.5</w:t>
            </w:r>
          </w:p>
        </w:tc>
        <w:tc>
          <w:tcPr>
            <w:tcW w:w="410" w:type="pct"/>
            <w:vAlign w:val="center"/>
          </w:tcPr>
          <w:p w14:paraId="5D44BB64"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52.9</w:t>
            </w:r>
          </w:p>
        </w:tc>
        <w:tc>
          <w:tcPr>
            <w:tcW w:w="412" w:type="pct"/>
            <w:vAlign w:val="center"/>
          </w:tcPr>
          <w:p w14:paraId="30D5DECB"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57.5</w:t>
            </w:r>
          </w:p>
        </w:tc>
        <w:tc>
          <w:tcPr>
            <w:tcW w:w="648" w:type="pct"/>
            <w:vMerge/>
            <w:vAlign w:val="center"/>
          </w:tcPr>
          <w:p w14:paraId="4463913E"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D0C5A" w:rsidRPr="006E060D" w14:paraId="2FDAF243"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1EEE4C01"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36E673D1"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4</w:t>
            </w:r>
            <w:r w:rsidRPr="008377E1">
              <w:rPr>
                <w:rFonts w:ascii="Times New Roman" w:hAnsi="Times New Roman" w:cs="Times New Roman"/>
                <w:b/>
                <w:bCs/>
                <w:sz w:val="18"/>
                <w:szCs w:val="18"/>
              </w:rPr>
              <w:t>)</w:t>
            </w:r>
          </w:p>
        </w:tc>
        <w:tc>
          <w:tcPr>
            <w:tcW w:w="496" w:type="pct"/>
            <w:gridSpan w:val="2"/>
            <w:vAlign w:val="center"/>
          </w:tcPr>
          <w:p w14:paraId="41F5EE45"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56.71</w:t>
            </w:r>
          </w:p>
        </w:tc>
        <w:tc>
          <w:tcPr>
            <w:tcW w:w="456" w:type="pct"/>
            <w:vAlign w:val="center"/>
          </w:tcPr>
          <w:p w14:paraId="12C2A2A3"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2.36</w:t>
            </w:r>
          </w:p>
        </w:tc>
        <w:tc>
          <w:tcPr>
            <w:tcW w:w="612" w:type="pct"/>
            <w:vAlign w:val="center"/>
          </w:tcPr>
          <w:p w14:paraId="4FE60B53"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55.7</w:t>
            </w:r>
          </w:p>
        </w:tc>
        <w:tc>
          <w:tcPr>
            <w:tcW w:w="410" w:type="pct"/>
            <w:vAlign w:val="center"/>
          </w:tcPr>
          <w:p w14:paraId="474D4D43"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55.2</w:t>
            </w:r>
          </w:p>
        </w:tc>
        <w:tc>
          <w:tcPr>
            <w:tcW w:w="412" w:type="pct"/>
            <w:vAlign w:val="center"/>
          </w:tcPr>
          <w:p w14:paraId="7B99E29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56.4</w:t>
            </w:r>
          </w:p>
        </w:tc>
        <w:tc>
          <w:tcPr>
            <w:tcW w:w="410" w:type="pct"/>
            <w:vAlign w:val="center"/>
          </w:tcPr>
          <w:p w14:paraId="5995F612"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55.0</w:t>
            </w:r>
          </w:p>
        </w:tc>
        <w:tc>
          <w:tcPr>
            <w:tcW w:w="412" w:type="pct"/>
            <w:vAlign w:val="center"/>
          </w:tcPr>
          <w:p w14:paraId="690DF444"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62.3</w:t>
            </w:r>
          </w:p>
        </w:tc>
        <w:tc>
          <w:tcPr>
            <w:tcW w:w="648" w:type="pct"/>
            <w:vMerge/>
            <w:vAlign w:val="center"/>
          </w:tcPr>
          <w:p w14:paraId="3778C99A"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5A3C0252"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restart"/>
            <w:vAlign w:val="center"/>
            <w:hideMark/>
          </w:tcPr>
          <w:p w14:paraId="7D8CBB98"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r w:rsidRPr="00C57BB5">
              <w:rPr>
                <w:rFonts w:ascii="Times New Roman" w:hAnsi="Times New Roman" w:cs="Times New Roman"/>
                <w:color w:val="121212"/>
                <w:sz w:val="20"/>
                <w:szCs w:val="20"/>
              </w:rPr>
              <w:t>At 1.5 year</w:t>
            </w:r>
          </w:p>
        </w:tc>
        <w:tc>
          <w:tcPr>
            <w:tcW w:w="468" w:type="pct"/>
            <w:vAlign w:val="center"/>
          </w:tcPr>
          <w:p w14:paraId="1B05AC75"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1</w:t>
            </w:r>
            <w:r w:rsidRPr="008377E1">
              <w:rPr>
                <w:rFonts w:ascii="Times New Roman" w:hAnsi="Times New Roman" w:cs="Times New Roman"/>
                <w:b/>
                <w:bCs/>
                <w:sz w:val="18"/>
                <w:szCs w:val="18"/>
              </w:rPr>
              <w:t>)</w:t>
            </w:r>
          </w:p>
        </w:tc>
        <w:tc>
          <w:tcPr>
            <w:tcW w:w="496" w:type="pct"/>
            <w:gridSpan w:val="2"/>
            <w:vAlign w:val="center"/>
          </w:tcPr>
          <w:p w14:paraId="43B5D042"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54.94</w:t>
            </w:r>
          </w:p>
        </w:tc>
        <w:tc>
          <w:tcPr>
            <w:tcW w:w="456" w:type="pct"/>
            <w:vAlign w:val="center"/>
          </w:tcPr>
          <w:p w14:paraId="31033FF5"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1.58</w:t>
            </w:r>
          </w:p>
        </w:tc>
        <w:tc>
          <w:tcPr>
            <w:tcW w:w="612" w:type="pct"/>
            <w:vAlign w:val="center"/>
            <w:hideMark/>
          </w:tcPr>
          <w:p w14:paraId="64B95485"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54.8</w:t>
            </w:r>
          </w:p>
        </w:tc>
        <w:tc>
          <w:tcPr>
            <w:tcW w:w="410" w:type="pct"/>
            <w:vAlign w:val="center"/>
            <w:hideMark/>
          </w:tcPr>
          <w:p w14:paraId="34EC6D3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54.0</w:t>
            </w:r>
          </w:p>
        </w:tc>
        <w:tc>
          <w:tcPr>
            <w:tcW w:w="412" w:type="pct"/>
            <w:vAlign w:val="center"/>
            <w:hideMark/>
          </w:tcPr>
          <w:p w14:paraId="6D26132B"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55.5</w:t>
            </w:r>
          </w:p>
        </w:tc>
        <w:tc>
          <w:tcPr>
            <w:tcW w:w="410" w:type="pct"/>
            <w:vAlign w:val="center"/>
          </w:tcPr>
          <w:p w14:paraId="68BA4A0F"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52.8</w:t>
            </w:r>
          </w:p>
        </w:tc>
        <w:tc>
          <w:tcPr>
            <w:tcW w:w="412" w:type="pct"/>
            <w:vAlign w:val="center"/>
          </w:tcPr>
          <w:p w14:paraId="4DB821F3"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57.6</w:t>
            </w:r>
          </w:p>
        </w:tc>
        <w:tc>
          <w:tcPr>
            <w:tcW w:w="648" w:type="pct"/>
            <w:vMerge w:val="restart"/>
            <w:vAlign w:val="center"/>
            <w:hideMark/>
          </w:tcPr>
          <w:p w14:paraId="63F1EB8E"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b/>
                <w:bCs/>
                <w:sz w:val="18"/>
                <w:szCs w:val="18"/>
              </w:rPr>
              <w:t>&lt;0.001**</w:t>
            </w:r>
          </w:p>
          <w:p w14:paraId="52E69CAC" w14:textId="19F55ED5"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1-2</w:t>
            </w:r>
            <w:r w:rsidRPr="00304CA5">
              <w:rPr>
                <w:rFonts w:ascii="Times New Roman" w:hAnsi="Times New Roman" w:cs="Times New Roman"/>
                <w:b/>
                <w:bCs/>
                <w:sz w:val="18"/>
                <w:szCs w:val="18"/>
              </w:rPr>
              <w:t>&lt;0.001</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1-3</w:t>
            </w:r>
            <w:r w:rsidRPr="00304CA5">
              <w:rPr>
                <w:rFonts w:ascii="Times New Roman" w:hAnsi="Times New Roman" w:cs="Times New Roman"/>
                <w:b/>
                <w:bCs/>
                <w:sz w:val="18"/>
                <w:szCs w:val="18"/>
              </w:rPr>
              <w:t>=</w:t>
            </w:r>
            <w:r w:rsidRPr="00304CA5">
              <w:rPr>
                <w:rFonts w:ascii="Times New Roman" w:hAnsi="Times New Roman" w:cs="Times New Roman"/>
                <w:sz w:val="18"/>
                <w:szCs w:val="18"/>
              </w:rPr>
              <w:t>0.134</w:t>
            </w:r>
          </w:p>
          <w:p w14:paraId="74155683" w14:textId="77777777" w:rsidR="00235F12" w:rsidRPr="00304CA5"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1-4</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2-3</w:t>
            </w:r>
            <w:r w:rsidRPr="00304CA5">
              <w:rPr>
                <w:rFonts w:ascii="Times New Roman" w:hAnsi="Times New Roman" w:cs="Times New Roman"/>
                <w:b/>
                <w:bCs/>
                <w:sz w:val="18"/>
                <w:szCs w:val="18"/>
              </w:rPr>
              <w:t>=</w:t>
            </w:r>
            <w:r w:rsidRPr="00304CA5">
              <w:rPr>
                <w:rFonts w:ascii="Times New Roman" w:hAnsi="Times New Roman" w:cs="Times New Roman"/>
                <w:sz w:val="18"/>
                <w:szCs w:val="18"/>
              </w:rPr>
              <w:t>0.306</w:t>
            </w:r>
          </w:p>
          <w:p w14:paraId="71A4CC3C" w14:textId="77777777" w:rsidR="00235F12" w:rsidRPr="006E060D" w:rsidRDefault="00235F12" w:rsidP="00423FA0">
            <w:pPr>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2-4</w:t>
            </w:r>
            <w:r w:rsidRPr="00304CA5">
              <w:rPr>
                <w:rFonts w:ascii="Times New Roman" w:hAnsi="Times New Roman" w:cs="Times New Roman"/>
                <w:b/>
                <w:bCs/>
                <w:sz w:val="18"/>
                <w:szCs w:val="18"/>
              </w:rPr>
              <w:t>=0.003</w:t>
            </w:r>
            <w:r>
              <w:rPr>
                <w:rFonts w:ascii="Times New Roman" w:hAnsi="Times New Roman" w:cs="Times New Roman"/>
                <w:sz w:val="18"/>
                <w:szCs w:val="18"/>
              </w:rPr>
              <w:t xml:space="preserve">, </w:t>
            </w:r>
            <w:r w:rsidRPr="00304CA5">
              <w:rPr>
                <w:rFonts w:ascii="Times New Roman" w:hAnsi="Times New Roman" w:cs="Times New Roman"/>
                <w:sz w:val="18"/>
                <w:szCs w:val="18"/>
              </w:rPr>
              <w:t>P</w:t>
            </w:r>
            <w:r w:rsidRPr="00304CA5">
              <w:rPr>
                <w:rFonts w:ascii="Times New Roman" w:hAnsi="Times New Roman" w:cs="Times New Roman"/>
                <w:sz w:val="18"/>
                <w:szCs w:val="18"/>
                <w:vertAlign w:val="subscript"/>
              </w:rPr>
              <w:t>3-4</w:t>
            </w:r>
            <w:r w:rsidRPr="00304CA5">
              <w:rPr>
                <w:rFonts w:ascii="Times New Roman" w:hAnsi="Times New Roman" w:cs="Times New Roman"/>
                <w:b/>
                <w:bCs/>
                <w:sz w:val="18"/>
                <w:szCs w:val="18"/>
              </w:rPr>
              <w:t>=</w:t>
            </w:r>
            <w:r w:rsidRPr="00304CA5">
              <w:rPr>
                <w:rFonts w:ascii="Times New Roman" w:hAnsi="Times New Roman" w:cs="Times New Roman"/>
                <w:sz w:val="18"/>
                <w:szCs w:val="18"/>
              </w:rPr>
              <w:t>1.00</w:t>
            </w:r>
          </w:p>
        </w:tc>
      </w:tr>
      <w:tr w:rsidR="004D0C5A" w:rsidRPr="006E060D" w14:paraId="40544613"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4B31EC9D"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554F214B"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2</w:t>
            </w:r>
            <w:r w:rsidRPr="008377E1">
              <w:rPr>
                <w:rFonts w:ascii="Times New Roman" w:hAnsi="Times New Roman" w:cs="Times New Roman"/>
                <w:b/>
                <w:bCs/>
                <w:sz w:val="18"/>
                <w:szCs w:val="18"/>
              </w:rPr>
              <w:t>)</w:t>
            </w:r>
          </w:p>
        </w:tc>
        <w:tc>
          <w:tcPr>
            <w:tcW w:w="496" w:type="pct"/>
            <w:gridSpan w:val="2"/>
            <w:vAlign w:val="center"/>
          </w:tcPr>
          <w:p w14:paraId="57BD276A"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57.99</w:t>
            </w:r>
          </w:p>
        </w:tc>
        <w:tc>
          <w:tcPr>
            <w:tcW w:w="456" w:type="pct"/>
            <w:vAlign w:val="center"/>
          </w:tcPr>
          <w:p w14:paraId="0E9E004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2.35</w:t>
            </w:r>
          </w:p>
        </w:tc>
        <w:tc>
          <w:tcPr>
            <w:tcW w:w="612" w:type="pct"/>
            <w:vAlign w:val="center"/>
          </w:tcPr>
          <w:p w14:paraId="5E7E47F0"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57.0</w:t>
            </w:r>
          </w:p>
        </w:tc>
        <w:tc>
          <w:tcPr>
            <w:tcW w:w="410" w:type="pct"/>
            <w:vAlign w:val="center"/>
          </w:tcPr>
          <w:p w14:paraId="2D9AA458"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56.7</w:t>
            </w:r>
          </w:p>
        </w:tc>
        <w:tc>
          <w:tcPr>
            <w:tcW w:w="412" w:type="pct"/>
            <w:vAlign w:val="center"/>
          </w:tcPr>
          <w:p w14:paraId="209F9BDD"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58.2</w:t>
            </w:r>
          </w:p>
        </w:tc>
        <w:tc>
          <w:tcPr>
            <w:tcW w:w="410" w:type="pct"/>
            <w:vAlign w:val="center"/>
          </w:tcPr>
          <w:p w14:paraId="262B233C"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55.8</w:t>
            </w:r>
          </w:p>
        </w:tc>
        <w:tc>
          <w:tcPr>
            <w:tcW w:w="412" w:type="pct"/>
            <w:vAlign w:val="center"/>
          </w:tcPr>
          <w:p w14:paraId="5FF3863E"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63.8</w:t>
            </w:r>
          </w:p>
        </w:tc>
        <w:tc>
          <w:tcPr>
            <w:tcW w:w="648" w:type="pct"/>
            <w:vMerge/>
            <w:vAlign w:val="center"/>
          </w:tcPr>
          <w:p w14:paraId="582C8E19"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6E060D" w14:paraId="662A27F5"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7C111D71"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37A37063" w14:textId="77777777" w:rsidR="00235F12" w:rsidRPr="00C57BB5" w:rsidRDefault="00235F12" w:rsidP="00423FA0">
            <w:pPr>
              <w:autoSpaceDE w:val="0"/>
              <w:autoSpaceDN w:val="0"/>
              <w:adjustRightInd w:val="0"/>
              <w:ind w:left="-18" w:right="-2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3</w:t>
            </w:r>
            <w:r w:rsidRPr="008377E1">
              <w:rPr>
                <w:rFonts w:ascii="Times New Roman" w:hAnsi="Times New Roman" w:cs="Times New Roman"/>
                <w:b/>
                <w:bCs/>
                <w:sz w:val="18"/>
                <w:szCs w:val="18"/>
              </w:rPr>
              <w:t>)</w:t>
            </w:r>
          </w:p>
        </w:tc>
        <w:tc>
          <w:tcPr>
            <w:tcW w:w="496" w:type="pct"/>
            <w:gridSpan w:val="2"/>
            <w:vAlign w:val="center"/>
          </w:tcPr>
          <w:p w14:paraId="141B5504"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56.28</w:t>
            </w:r>
          </w:p>
        </w:tc>
        <w:tc>
          <w:tcPr>
            <w:tcW w:w="456" w:type="pct"/>
            <w:vAlign w:val="center"/>
          </w:tcPr>
          <w:p w14:paraId="77994621"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1.27</w:t>
            </w:r>
          </w:p>
        </w:tc>
        <w:tc>
          <w:tcPr>
            <w:tcW w:w="612" w:type="pct"/>
            <w:vAlign w:val="center"/>
          </w:tcPr>
          <w:p w14:paraId="4E244B5C"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56.8</w:t>
            </w:r>
          </w:p>
        </w:tc>
        <w:tc>
          <w:tcPr>
            <w:tcW w:w="410" w:type="pct"/>
            <w:vAlign w:val="center"/>
          </w:tcPr>
          <w:p w14:paraId="616BED80"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55.4</w:t>
            </w:r>
          </w:p>
        </w:tc>
        <w:tc>
          <w:tcPr>
            <w:tcW w:w="412" w:type="pct"/>
            <w:vAlign w:val="center"/>
          </w:tcPr>
          <w:p w14:paraId="0483229E"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57.1</w:t>
            </w:r>
          </w:p>
        </w:tc>
        <w:tc>
          <w:tcPr>
            <w:tcW w:w="410" w:type="pct"/>
            <w:vAlign w:val="center"/>
          </w:tcPr>
          <w:p w14:paraId="35D3B614"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54.1</w:t>
            </w:r>
          </w:p>
        </w:tc>
        <w:tc>
          <w:tcPr>
            <w:tcW w:w="412" w:type="pct"/>
            <w:vAlign w:val="center"/>
          </w:tcPr>
          <w:p w14:paraId="15FCFD54"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57.7</w:t>
            </w:r>
          </w:p>
        </w:tc>
        <w:tc>
          <w:tcPr>
            <w:tcW w:w="648" w:type="pct"/>
            <w:vMerge/>
            <w:vAlign w:val="center"/>
          </w:tcPr>
          <w:p w14:paraId="00DAD501" w14:textId="77777777" w:rsidR="00235F12" w:rsidRPr="006E060D" w:rsidRDefault="00235F12"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D0C5A" w:rsidRPr="006E060D" w14:paraId="698DAF92"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6" w:type="pct"/>
            <w:vMerge/>
            <w:vAlign w:val="center"/>
          </w:tcPr>
          <w:p w14:paraId="7A4BBC5E" w14:textId="77777777" w:rsidR="00235F12" w:rsidRPr="00C57BB5" w:rsidRDefault="00235F12" w:rsidP="00423FA0">
            <w:pPr>
              <w:autoSpaceDE w:val="0"/>
              <w:autoSpaceDN w:val="0"/>
              <w:adjustRightInd w:val="0"/>
              <w:ind w:left="60" w:right="-18" w:hanging="72"/>
              <w:jc w:val="center"/>
              <w:rPr>
                <w:rFonts w:ascii="Times New Roman" w:hAnsi="Times New Roman" w:cs="Times New Roman"/>
                <w:color w:val="121212"/>
                <w:sz w:val="20"/>
                <w:szCs w:val="20"/>
              </w:rPr>
            </w:pPr>
          </w:p>
        </w:tc>
        <w:tc>
          <w:tcPr>
            <w:tcW w:w="468" w:type="pct"/>
            <w:vAlign w:val="center"/>
          </w:tcPr>
          <w:p w14:paraId="468649B3" w14:textId="77777777" w:rsidR="00235F12" w:rsidRPr="00C57BB5" w:rsidRDefault="00235F12" w:rsidP="00423FA0">
            <w:pPr>
              <w:autoSpaceDE w:val="0"/>
              <w:autoSpaceDN w:val="0"/>
              <w:adjustRightInd w:val="0"/>
              <w:ind w:left="-18" w:right="-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1111"/>
                <w:sz w:val="20"/>
                <w:szCs w:val="20"/>
              </w:rPr>
            </w:pPr>
            <w:r w:rsidRPr="008377E1">
              <w:rPr>
                <w:rFonts w:ascii="Times New Roman" w:hAnsi="Times New Roman" w:cs="Times New Roman"/>
                <w:b/>
                <w:bCs/>
                <w:sz w:val="18"/>
                <w:szCs w:val="18"/>
              </w:rPr>
              <w:t>Group (</w:t>
            </w:r>
            <w:r>
              <w:rPr>
                <w:rFonts w:ascii="Times New Roman" w:hAnsi="Times New Roman" w:cs="Times New Roman"/>
                <w:b/>
                <w:bCs/>
                <w:sz w:val="18"/>
                <w:szCs w:val="18"/>
              </w:rPr>
              <w:t>4</w:t>
            </w:r>
            <w:r w:rsidRPr="008377E1">
              <w:rPr>
                <w:rFonts w:ascii="Times New Roman" w:hAnsi="Times New Roman" w:cs="Times New Roman"/>
                <w:b/>
                <w:bCs/>
                <w:sz w:val="18"/>
                <w:szCs w:val="18"/>
              </w:rPr>
              <w:t>)</w:t>
            </w:r>
          </w:p>
        </w:tc>
        <w:tc>
          <w:tcPr>
            <w:tcW w:w="496" w:type="pct"/>
            <w:gridSpan w:val="2"/>
            <w:vAlign w:val="center"/>
          </w:tcPr>
          <w:p w14:paraId="28C63311"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56.09</w:t>
            </w:r>
          </w:p>
        </w:tc>
        <w:tc>
          <w:tcPr>
            <w:tcW w:w="456" w:type="pct"/>
            <w:vAlign w:val="center"/>
          </w:tcPr>
          <w:p w14:paraId="56A1E140"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2.54</w:t>
            </w:r>
          </w:p>
        </w:tc>
        <w:tc>
          <w:tcPr>
            <w:tcW w:w="612" w:type="pct"/>
            <w:vAlign w:val="center"/>
          </w:tcPr>
          <w:p w14:paraId="1B4B386F"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55.1</w:t>
            </w:r>
          </w:p>
        </w:tc>
        <w:tc>
          <w:tcPr>
            <w:tcW w:w="410" w:type="pct"/>
            <w:vAlign w:val="center"/>
          </w:tcPr>
          <w:p w14:paraId="2FC0A82F"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55.0</w:t>
            </w:r>
          </w:p>
        </w:tc>
        <w:tc>
          <w:tcPr>
            <w:tcW w:w="412" w:type="pct"/>
            <w:vAlign w:val="center"/>
          </w:tcPr>
          <w:p w14:paraId="0D00CCD9"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56.1</w:t>
            </w:r>
          </w:p>
        </w:tc>
        <w:tc>
          <w:tcPr>
            <w:tcW w:w="410" w:type="pct"/>
            <w:vAlign w:val="center"/>
          </w:tcPr>
          <w:p w14:paraId="72BF5607"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53.5</w:t>
            </w:r>
          </w:p>
        </w:tc>
        <w:tc>
          <w:tcPr>
            <w:tcW w:w="412" w:type="pct"/>
            <w:vAlign w:val="center"/>
          </w:tcPr>
          <w:p w14:paraId="31544966"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604">
              <w:rPr>
                <w:rFonts w:ascii="Times New Roman" w:hAnsi="Times New Roman" w:cs="Times New Roman"/>
                <w:sz w:val="18"/>
                <w:szCs w:val="18"/>
              </w:rPr>
              <w:t>62.0</w:t>
            </w:r>
          </w:p>
        </w:tc>
        <w:tc>
          <w:tcPr>
            <w:tcW w:w="648" w:type="pct"/>
            <w:vMerge/>
            <w:vAlign w:val="center"/>
          </w:tcPr>
          <w:p w14:paraId="0AC2ADAE" w14:textId="77777777" w:rsidR="00235F12" w:rsidRPr="006E060D" w:rsidRDefault="00235F12" w:rsidP="00423FA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D0C5A" w:rsidRPr="00C57BB5" w14:paraId="1368B77C"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1294" w:type="pct"/>
            <w:gridSpan w:val="3"/>
            <w:vAlign w:val="center"/>
            <w:hideMark/>
          </w:tcPr>
          <w:p w14:paraId="7B955930" w14:textId="77777777" w:rsidR="004D0C5A" w:rsidRPr="00C57BB5" w:rsidRDefault="004D0C5A" w:rsidP="00423FA0">
            <w:pPr>
              <w:autoSpaceDE w:val="0"/>
              <w:autoSpaceDN w:val="0"/>
              <w:adjustRightInd w:val="0"/>
              <w:ind w:left="60" w:right="60"/>
              <w:jc w:val="center"/>
              <w:rPr>
                <w:rFonts w:ascii="Times New Roman" w:hAnsi="Times New Roman" w:cs="Times New Roman"/>
                <w:b w:val="0"/>
                <w:bCs w:val="0"/>
                <w:color w:val="0D1111"/>
                <w:sz w:val="20"/>
                <w:szCs w:val="20"/>
              </w:rPr>
            </w:pPr>
            <w:r w:rsidRPr="00C57BB5">
              <w:rPr>
                <w:rFonts w:ascii="Times New Roman" w:hAnsi="Times New Roman" w:cs="Times New Roman"/>
                <w:color w:val="121212"/>
                <w:sz w:val="20"/>
                <w:szCs w:val="20"/>
              </w:rPr>
              <w:t>P-value over time (Friedman Test)</w:t>
            </w:r>
          </w:p>
        </w:tc>
        <w:tc>
          <w:tcPr>
            <w:tcW w:w="3706" w:type="pct"/>
            <w:gridSpan w:val="8"/>
            <w:vAlign w:val="center"/>
          </w:tcPr>
          <w:p w14:paraId="23F5451A" w14:textId="6FDB0FA8" w:rsidR="004D0C5A" w:rsidRPr="00C57BB5" w:rsidRDefault="004D0C5A" w:rsidP="00423FA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D1111"/>
                <w:sz w:val="20"/>
                <w:szCs w:val="20"/>
              </w:rPr>
            </w:pPr>
            <w:r>
              <w:rPr>
                <w:rFonts w:ascii="Times New Roman" w:hAnsi="Times New Roman" w:cs="Times New Roman"/>
                <w:b/>
                <w:bCs/>
                <w:color w:val="0D1111"/>
                <w:sz w:val="20"/>
                <w:szCs w:val="20"/>
              </w:rPr>
              <w:t>Group (A); p</w:t>
            </w:r>
            <w:r w:rsidRPr="00C57BB5">
              <w:rPr>
                <w:rFonts w:ascii="Times New Roman" w:hAnsi="Times New Roman" w:cs="Times New Roman"/>
                <w:b/>
                <w:bCs/>
                <w:color w:val="0D1111"/>
                <w:sz w:val="20"/>
                <w:szCs w:val="20"/>
              </w:rPr>
              <w:t>&lt;0.001**</w:t>
            </w:r>
            <w:r>
              <w:rPr>
                <w:rFonts w:ascii="Times New Roman" w:hAnsi="Times New Roman" w:cs="Times New Roman"/>
                <w:b/>
                <w:bCs/>
                <w:color w:val="0D1111"/>
                <w:sz w:val="20"/>
                <w:szCs w:val="20"/>
              </w:rPr>
              <w:t>, Group (B); p</w:t>
            </w:r>
            <w:r w:rsidRPr="00C57BB5">
              <w:rPr>
                <w:rFonts w:ascii="Times New Roman" w:hAnsi="Times New Roman" w:cs="Times New Roman"/>
                <w:b/>
                <w:bCs/>
                <w:color w:val="0D1111"/>
                <w:sz w:val="20"/>
                <w:szCs w:val="20"/>
              </w:rPr>
              <w:t>&lt;0.001**</w:t>
            </w:r>
            <w:r>
              <w:t xml:space="preserve"> </w:t>
            </w:r>
            <w:r w:rsidRPr="00235F12">
              <w:rPr>
                <w:rFonts w:ascii="Times New Roman" w:hAnsi="Times New Roman" w:cs="Times New Roman"/>
                <w:b/>
                <w:bCs/>
                <w:color w:val="0D1111"/>
                <w:sz w:val="20"/>
                <w:szCs w:val="20"/>
              </w:rPr>
              <w:t>Group (C); p&lt;0.001**, Group (D); p&lt;0.001**</w:t>
            </w:r>
          </w:p>
        </w:tc>
      </w:tr>
    </w:tbl>
    <w:p w14:paraId="21A1BFE2" w14:textId="34716919" w:rsidR="00235F12" w:rsidRPr="00235F12" w:rsidRDefault="004D0C5A" w:rsidP="00235F12">
      <w:pPr>
        <w:spacing w:after="0" w:line="240" w:lineRule="auto"/>
        <w:rPr>
          <w:rFonts w:ascii="Times New Roman" w:eastAsia="Calibri" w:hAnsi="Times New Roman" w:cs="Times New Roman"/>
          <w:sz w:val="18"/>
          <w:szCs w:val="18"/>
        </w:rPr>
      </w:pPr>
      <w:r w:rsidRPr="004D0C5A">
        <w:rPr>
          <w:rFonts w:ascii="Times New Roman" w:eastAsia="Calibri" w:hAnsi="Times New Roman" w:cs="Times New Roman"/>
          <w:bCs/>
          <w:sz w:val="18"/>
          <w:szCs w:val="18"/>
          <w:lang w:bidi="ar-EG"/>
        </w:rPr>
        <w:t>Data presents as mean ± SD</w:t>
      </w:r>
      <w:r>
        <w:rPr>
          <w:rFonts w:ascii="Times New Roman" w:eastAsia="Calibri" w:hAnsi="Times New Roman" w:cs="Times New Roman"/>
          <w:bCs/>
          <w:sz w:val="18"/>
          <w:szCs w:val="18"/>
          <w:lang w:bidi="ar-EG"/>
        </w:rPr>
        <w:t xml:space="preserve">, </w:t>
      </w:r>
      <w:r w:rsidRPr="004D0C5A">
        <w:rPr>
          <w:rFonts w:ascii="Times New Roman" w:eastAsia="Calibri" w:hAnsi="Times New Roman" w:cs="Times New Roman"/>
          <w:bCs/>
          <w:sz w:val="18"/>
          <w:szCs w:val="18"/>
          <w:lang w:bidi="ar-EG"/>
        </w:rPr>
        <w:t>Median</w:t>
      </w:r>
      <w:r>
        <w:rPr>
          <w:rFonts w:ascii="Times New Roman" w:eastAsia="Calibri" w:hAnsi="Times New Roman" w:cs="Times New Roman"/>
          <w:bCs/>
          <w:sz w:val="18"/>
          <w:szCs w:val="18"/>
          <w:lang w:bidi="ar-EG"/>
        </w:rPr>
        <w:t xml:space="preserve">, </w:t>
      </w:r>
      <w:r w:rsidRPr="004D0C5A">
        <w:rPr>
          <w:rFonts w:ascii="Times New Roman" w:eastAsia="Calibri" w:hAnsi="Times New Roman" w:cs="Times New Roman"/>
          <w:bCs/>
          <w:sz w:val="18"/>
          <w:szCs w:val="18"/>
          <w:lang w:bidi="ar-EG"/>
        </w:rPr>
        <w:t>IQR</w:t>
      </w:r>
      <w:r>
        <w:rPr>
          <w:rFonts w:ascii="Times New Roman" w:eastAsia="Calibri" w:hAnsi="Times New Roman" w:cs="Times New Roman"/>
          <w:bCs/>
          <w:sz w:val="18"/>
          <w:szCs w:val="18"/>
          <w:lang w:bidi="ar-EG"/>
        </w:rPr>
        <w:t xml:space="preserve"> or </w:t>
      </w:r>
      <w:r w:rsidRPr="004D0C5A">
        <w:rPr>
          <w:rFonts w:ascii="Times New Roman" w:eastAsia="Calibri" w:hAnsi="Times New Roman" w:cs="Times New Roman"/>
          <w:bCs/>
          <w:sz w:val="18"/>
          <w:szCs w:val="18"/>
          <w:lang w:bidi="ar-EG"/>
        </w:rPr>
        <w:t>Range</w:t>
      </w:r>
      <w:r>
        <w:rPr>
          <w:rFonts w:ascii="Times New Roman" w:eastAsia="Calibri" w:hAnsi="Times New Roman" w:cs="Times New Roman"/>
          <w:bCs/>
          <w:sz w:val="18"/>
          <w:szCs w:val="18"/>
          <w:lang w:bidi="ar-EG"/>
        </w:rPr>
        <w:t xml:space="preserve">. </w:t>
      </w:r>
      <w:r w:rsidR="00235F12" w:rsidRPr="00235F12">
        <w:rPr>
          <w:rFonts w:ascii="Times New Roman" w:eastAsia="Calibri" w:hAnsi="Times New Roman" w:cs="Times New Roman"/>
          <w:bCs/>
          <w:sz w:val="18"/>
          <w:szCs w:val="18"/>
          <w:lang w:bidi="ar-EG"/>
        </w:rPr>
        <w:t>*p≤0.05 is significant, **p≤0.01 is highly significant,</w:t>
      </w:r>
      <w:r w:rsidR="00235F12">
        <w:rPr>
          <w:rFonts w:ascii="Times New Roman" w:eastAsia="Calibri" w:hAnsi="Times New Roman" w:cs="Times New Roman"/>
          <w:sz w:val="18"/>
          <w:szCs w:val="18"/>
        </w:rPr>
        <w:t xml:space="preserve"> </w:t>
      </w:r>
      <w:r w:rsidR="00235F12" w:rsidRPr="00235F12">
        <w:rPr>
          <w:rFonts w:ascii="Times New Roman" w:eastAsia="Calibri" w:hAnsi="Times New Roman" w:cs="Times New Roman"/>
          <w:sz w:val="18"/>
          <w:szCs w:val="18"/>
        </w:rPr>
        <w:t>EF: ejection fraction</w:t>
      </w:r>
    </w:p>
    <w:p w14:paraId="293247E6" w14:textId="77777777" w:rsidR="00423FA0" w:rsidRDefault="00423FA0">
      <w:pPr>
        <w:rPr>
          <w:rFonts w:ascii="Times New Roman" w:eastAsia="Calibri" w:hAnsi="Times New Roman" w:cs="Times New Roman"/>
          <w:b/>
          <w:bCs/>
          <w:sz w:val="24"/>
          <w:szCs w:val="24"/>
          <w:highlight w:val="yellow"/>
        </w:rPr>
      </w:pPr>
      <w:r>
        <w:rPr>
          <w:rFonts w:ascii="Times New Roman" w:eastAsia="Calibri" w:hAnsi="Times New Roman" w:cs="Times New Roman"/>
          <w:b/>
          <w:bCs/>
          <w:sz w:val="24"/>
          <w:szCs w:val="24"/>
          <w:highlight w:val="yellow"/>
        </w:rPr>
        <w:br w:type="page"/>
      </w:r>
    </w:p>
    <w:bookmarkEnd w:id="13"/>
    <w:bookmarkEnd w:id="14"/>
    <w:p w14:paraId="58F97BED" w14:textId="68A9CAB1" w:rsidR="000C6CB0" w:rsidRDefault="000C6CB0" w:rsidP="000C6CB0">
      <w:pPr>
        <w:pStyle w:val="Caption"/>
      </w:pPr>
      <w:r>
        <w:lastRenderedPageBreak/>
        <w:t xml:space="preserve">Table </w:t>
      </w:r>
      <w:r w:rsidR="00C36030">
        <w:fldChar w:fldCharType="begin"/>
      </w:r>
      <w:r w:rsidR="00C36030">
        <w:instrText xml:space="preserve"> SEQ Table \* ARABIC </w:instrText>
      </w:r>
      <w:r w:rsidR="00C36030">
        <w:fldChar w:fldCharType="separate"/>
      </w:r>
      <w:r w:rsidR="00583979">
        <w:rPr>
          <w:noProof/>
        </w:rPr>
        <w:t>3</w:t>
      </w:r>
      <w:r w:rsidR="00C36030">
        <w:fldChar w:fldCharType="end"/>
      </w:r>
      <w:r>
        <w:t>:</w:t>
      </w:r>
      <w:r w:rsidRPr="000C6CB0">
        <w:t xml:space="preserve"> Asymptomatic myocardial injury according to post HD-Hb level categories</w:t>
      </w:r>
      <w:r>
        <w:t xml:space="preserve"> and </w:t>
      </w:r>
      <w:r w:rsidRPr="000C6CB0">
        <w:t>according to post Hb/</w:t>
      </w:r>
      <w:proofErr w:type="spellStart"/>
      <w:r w:rsidRPr="000C6CB0">
        <w:t>preHb</w:t>
      </w:r>
      <w:proofErr w:type="spellEnd"/>
      <w:r w:rsidRPr="000C6CB0">
        <w:t xml:space="preserve"> </w:t>
      </w:r>
      <w:r w:rsidR="00235F12" w:rsidRPr="000C6CB0">
        <w:t>ratio categories</w:t>
      </w:r>
    </w:p>
    <w:bookmarkEnd w:id="15"/>
    <w:tbl>
      <w:tblPr>
        <w:tblStyle w:val="GridTable6Colorful11"/>
        <w:tblW w:w="5089" w:type="pct"/>
        <w:tblLook w:val="04A0" w:firstRow="1" w:lastRow="0" w:firstColumn="1" w:lastColumn="0" w:noHBand="0" w:noVBand="1"/>
      </w:tblPr>
      <w:tblGrid>
        <w:gridCol w:w="1304"/>
        <w:gridCol w:w="832"/>
        <w:gridCol w:w="8"/>
        <w:gridCol w:w="543"/>
        <w:gridCol w:w="808"/>
        <w:gridCol w:w="18"/>
        <w:gridCol w:w="460"/>
        <w:gridCol w:w="32"/>
        <w:gridCol w:w="850"/>
        <w:gridCol w:w="18"/>
        <w:gridCol w:w="460"/>
        <w:gridCol w:w="884"/>
        <w:gridCol w:w="30"/>
        <w:gridCol w:w="448"/>
        <w:gridCol w:w="42"/>
        <w:gridCol w:w="838"/>
        <w:gridCol w:w="1209"/>
      </w:tblGrid>
      <w:tr w:rsidR="00235F12" w:rsidRPr="008A6667" w14:paraId="3C1C9790" w14:textId="77777777" w:rsidTr="004D0C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1" w:type="pct"/>
            <w:gridSpan w:val="3"/>
            <w:vMerge w:val="restart"/>
            <w:vAlign w:val="center"/>
          </w:tcPr>
          <w:p w14:paraId="0E4C86FF" w14:textId="77777777" w:rsidR="00235F12" w:rsidRPr="008A6667" w:rsidRDefault="00235F12" w:rsidP="000C6CB0">
            <w:pPr>
              <w:spacing w:line="276" w:lineRule="auto"/>
              <w:jc w:val="center"/>
              <w:textAlignment w:val="top"/>
              <w:rPr>
                <w:rFonts w:ascii="Times New Roman" w:hAnsi="Times New Roman" w:cs="Times New Roman"/>
                <w:b w:val="0"/>
                <w:bCs w:val="0"/>
                <w:i/>
                <w:iCs/>
              </w:rPr>
            </w:pPr>
          </w:p>
        </w:tc>
        <w:tc>
          <w:tcPr>
            <w:tcW w:w="779" w:type="pct"/>
            <w:gridSpan w:val="3"/>
            <w:vAlign w:val="center"/>
            <w:hideMark/>
          </w:tcPr>
          <w:p w14:paraId="28E39245"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Group (A)</w:t>
            </w:r>
          </w:p>
          <w:p w14:paraId="3D6F2C4B"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(N= 30)</w:t>
            </w:r>
          </w:p>
        </w:tc>
        <w:tc>
          <w:tcPr>
            <w:tcW w:w="774" w:type="pct"/>
            <w:gridSpan w:val="4"/>
            <w:vAlign w:val="center"/>
            <w:hideMark/>
          </w:tcPr>
          <w:p w14:paraId="6D03212B"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Group (B)</w:t>
            </w:r>
          </w:p>
          <w:p w14:paraId="2C1C6C5A"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(N= 20)</w:t>
            </w:r>
          </w:p>
        </w:tc>
        <w:tc>
          <w:tcPr>
            <w:tcW w:w="782" w:type="pct"/>
            <w:gridSpan w:val="3"/>
            <w:vAlign w:val="center"/>
            <w:hideMark/>
          </w:tcPr>
          <w:p w14:paraId="59758ABE"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Group (C)</w:t>
            </w:r>
          </w:p>
          <w:p w14:paraId="0D5870E5"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(N= 20)</w:t>
            </w:r>
          </w:p>
        </w:tc>
        <w:tc>
          <w:tcPr>
            <w:tcW w:w="756" w:type="pct"/>
            <w:gridSpan w:val="3"/>
            <w:vAlign w:val="center"/>
            <w:hideMark/>
          </w:tcPr>
          <w:p w14:paraId="14EFBAD0"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Group (D)</w:t>
            </w:r>
          </w:p>
          <w:p w14:paraId="4BDE8B30"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(N= 30)</w:t>
            </w:r>
          </w:p>
        </w:tc>
        <w:tc>
          <w:tcPr>
            <w:tcW w:w="688" w:type="pct"/>
            <w:vMerge w:val="restart"/>
            <w:vAlign w:val="center"/>
            <w:hideMark/>
          </w:tcPr>
          <w:p w14:paraId="7F640B90" w14:textId="77777777" w:rsidR="00235F12" w:rsidRPr="008A6667" w:rsidRDefault="00235F12" w:rsidP="000C6CB0">
            <w:pPr>
              <w:spacing w:line="276"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A6667">
              <w:rPr>
                <w:rFonts w:ascii="Times New Roman" w:hAnsi="Times New Roman" w:cs="Times New Roman"/>
              </w:rPr>
              <w:t>P-value</w:t>
            </w:r>
          </w:p>
        </w:tc>
      </w:tr>
      <w:tr w:rsidR="00235F12" w:rsidRPr="008A6667" w14:paraId="67BEEBB4"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1" w:type="pct"/>
            <w:gridSpan w:val="3"/>
            <w:vMerge/>
            <w:vAlign w:val="center"/>
            <w:hideMark/>
          </w:tcPr>
          <w:p w14:paraId="2FEF39B8" w14:textId="77777777" w:rsidR="00235F12" w:rsidRPr="008A6667" w:rsidRDefault="00235F12" w:rsidP="000C6CB0">
            <w:pPr>
              <w:spacing w:line="256" w:lineRule="auto"/>
              <w:jc w:val="center"/>
              <w:rPr>
                <w:rFonts w:ascii="Times New Roman" w:hAnsi="Times New Roman" w:cs="Times New Roman"/>
                <w:b w:val="0"/>
                <w:bCs w:val="0"/>
                <w:i/>
                <w:iCs/>
              </w:rPr>
            </w:pPr>
          </w:p>
        </w:tc>
        <w:tc>
          <w:tcPr>
            <w:tcW w:w="309" w:type="pct"/>
            <w:vAlign w:val="center"/>
            <w:hideMark/>
          </w:tcPr>
          <w:p w14:paraId="0786097C" w14:textId="39908535"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N</w:t>
            </w:r>
          </w:p>
        </w:tc>
        <w:tc>
          <w:tcPr>
            <w:tcW w:w="470" w:type="pct"/>
            <w:gridSpan w:val="2"/>
            <w:vAlign w:val="center"/>
            <w:hideMark/>
          </w:tcPr>
          <w:p w14:paraId="3C269205"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w:t>
            </w:r>
          </w:p>
        </w:tc>
        <w:tc>
          <w:tcPr>
            <w:tcW w:w="280" w:type="pct"/>
            <w:gridSpan w:val="2"/>
            <w:vAlign w:val="center"/>
            <w:hideMark/>
          </w:tcPr>
          <w:p w14:paraId="2EBC9798" w14:textId="7853242F"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N</w:t>
            </w:r>
          </w:p>
        </w:tc>
        <w:tc>
          <w:tcPr>
            <w:tcW w:w="494" w:type="pct"/>
            <w:gridSpan w:val="2"/>
            <w:vAlign w:val="center"/>
            <w:hideMark/>
          </w:tcPr>
          <w:p w14:paraId="14106A87"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w:t>
            </w:r>
          </w:p>
        </w:tc>
        <w:tc>
          <w:tcPr>
            <w:tcW w:w="261" w:type="pct"/>
            <w:vAlign w:val="center"/>
            <w:hideMark/>
          </w:tcPr>
          <w:p w14:paraId="54D37B62" w14:textId="28A0086D"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N</w:t>
            </w:r>
          </w:p>
        </w:tc>
        <w:tc>
          <w:tcPr>
            <w:tcW w:w="520" w:type="pct"/>
            <w:gridSpan w:val="2"/>
            <w:vAlign w:val="center"/>
            <w:hideMark/>
          </w:tcPr>
          <w:p w14:paraId="50313D3C"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w:t>
            </w:r>
          </w:p>
        </w:tc>
        <w:tc>
          <w:tcPr>
            <w:tcW w:w="279" w:type="pct"/>
            <w:gridSpan w:val="2"/>
            <w:vAlign w:val="center"/>
            <w:hideMark/>
          </w:tcPr>
          <w:p w14:paraId="0C071073" w14:textId="1E700010"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N</w:t>
            </w:r>
          </w:p>
        </w:tc>
        <w:tc>
          <w:tcPr>
            <w:tcW w:w="477" w:type="pct"/>
            <w:vAlign w:val="center"/>
            <w:hideMark/>
          </w:tcPr>
          <w:p w14:paraId="060EC39A"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w:t>
            </w:r>
          </w:p>
        </w:tc>
        <w:tc>
          <w:tcPr>
            <w:tcW w:w="688" w:type="pct"/>
            <w:vMerge/>
            <w:vAlign w:val="center"/>
            <w:hideMark/>
          </w:tcPr>
          <w:p w14:paraId="6D0EB191" w14:textId="77777777" w:rsidR="00235F12" w:rsidRPr="008A6667" w:rsidRDefault="00235F12" w:rsidP="000C6CB0">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235F12" w:rsidRPr="008A6667" w14:paraId="7DFEA4C3"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742" w:type="pct"/>
            <w:vMerge w:val="restart"/>
            <w:vAlign w:val="center"/>
            <w:hideMark/>
          </w:tcPr>
          <w:p w14:paraId="2265451D" w14:textId="77777777" w:rsidR="00235F12" w:rsidRPr="008A6667" w:rsidRDefault="00235F12" w:rsidP="000C6CB0">
            <w:pPr>
              <w:spacing w:line="276" w:lineRule="auto"/>
              <w:jc w:val="center"/>
              <w:textAlignment w:val="top"/>
              <w:rPr>
                <w:rFonts w:ascii="Times New Roman" w:hAnsi="Times New Roman" w:cs="Times New Roman"/>
                <w:b w:val="0"/>
                <w:bCs w:val="0"/>
              </w:rPr>
            </w:pPr>
            <w:r w:rsidRPr="008A6667">
              <w:rPr>
                <w:rFonts w:ascii="Times New Roman" w:hAnsi="Times New Roman" w:cs="Times New Roman"/>
              </w:rPr>
              <w:t>Myocardial injury</w:t>
            </w:r>
          </w:p>
        </w:tc>
        <w:tc>
          <w:tcPr>
            <w:tcW w:w="474" w:type="pct"/>
            <w:vAlign w:val="center"/>
            <w:hideMark/>
          </w:tcPr>
          <w:p w14:paraId="22193284" w14:textId="49BF1DB5"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No</w:t>
            </w:r>
          </w:p>
        </w:tc>
        <w:tc>
          <w:tcPr>
            <w:tcW w:w="314" w:type="pct"/>
            <w:gridSpan w:val="2"/>
            <w:vAlign w:val="center"/>
            <w:hideMark/>
          </w:tcPr>
          <w:p w14:paraId="3BB3C8A5"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24</w:t>
            </w:r>
          </w:p>
        </w:tc>
        <w:tc>
          <w:tcPr>
            <w:tcW w:w="460" w:type="pct"/>
            <w:vAlign w:val="center"/>
            <w:hideMark/>
          </w:tcPr>
          <w:p w14:paraId="7B2541D9"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80.0%</w:t>
            </w:r>
          </w:p>
        </w:tc>
        <w:tc>
          <w:tcPr>
            <w:tcW w:w="272" w:type="pct"/>
            <w:gridSpan w:val="2"/>
            <w:vAlign w:val="center"/>
            <w:hideMark/>
          </w:tcPr>
          <w:p w14:paraId="5F5C0EDA"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16</w:t>
            </w:r>
          </w:p>
        </w:tc>
        <w:tc>
          <w:tcPr>
            <w:tcW w:w="501" w:type="pct"/>
            <w:gridSpan w:val="2"/>
            <w:vAlign w:val="center"/>
            <w:hideMark/>
          </w:tcPr>
          <w:p w14:paraId="69B2A61F"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80.0%</w:t>
            </w:r>
          </w:p>
        </w:tc>
        <w:tc>
          <w:tcPr>
            <w:tcW w:w="272" w:type="pct"/>
            <w:gridSpan w:val="2"/>
            <w:vAlign w:val="center"/>
            <w:hideMark/>
          </w:tcPr>
          <w:p w14:paraId="059BE6CE"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16</w:t>
            </w:r>
          </w:p>
        </w:tc>
        <w:tc>
          <w:tcPr>
            <w:tcW w:w="503" w:type="pct"/>
            <w:vAlign w:val="center"/>
            <w:hideMark/>
          </w:tcPr>
          <w:p w14:paraId="48F223C2"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80.0%</w:t>
            </w:r>
          </w:p>
        </w:tc>
        <w:tc>
          <w:tcPr>
            <w:tcW w:w="272" w:type="pct"/>
            <w:gridSpan w:val="2"/>
            <w:vAlign w:val="center"/>
            <w:hideMark/>
          </w:tcPr>
          <w:p w14:paraId="0C52A8CA"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20</w:t>
            </w:r>
          </w:p>
        </w:tc>
        <w:tc>
          <w:tcPr>
            <w:tcW w:w="501" w:type="pct"/>
            <w:gridSpan w:val="2"/>
            <w:vAlign w:val="center"/>
            <w:hideMark/>
          </w:tcPr>
          <w:p w14:paraId="5A2202A8"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66.7%</w:t>
            </w:r>
          </w:p>
        </w:tc>
        <w:tc>
          <w:tcPr>
            <w:tcW w:w="688" w:type="pct"/>
            <w:vMerge w:val="restart"/>
            <w:vAlign w:val="center"/>
            <w:hideMark/>
          </w:tcPr>
          <w:p w14:paraId="7BE792FB"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0.593</w:t>
            </w:r>
            <w:r w:rsidRPr="008A6667">
              <w:rPr>
                <w:rFonts w:ascii="Times New Roman" w:hAnsi="Times New Roman" w:cs="Times New Roman"/>
                <w:vertAlign w:val="superscript"/>
              </w:rPr>
              <w:t>MC</w:t>
            </w:r>
          </w:p>
        </w:tc>
      </w:tr>
      <w:tr w:rsidR="00235F12" w:rsidRPr="008A6667" w14:paraId="7B877031"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2" w:type="pct"/>
            <w:vMerge/>
            <w:vAlign w:val="center"/>
            <w:hideMark/>
          </w:tcPr>
          <w:p w14:paraId="2D03B72A" w14:textId="77777777" w:rsidR="00235F12" w:rsidRPr="008A6667" w:rsidRDefault="00235F12" w:rsidP="000C6CB0">
            <w:pPr>
              <w:spacing w:line="256" w:lineRule="auto"/>
              <w:jc w:val="center"/>
              <w:rPr>
                <w:rFonts w:ascii="Times New Roman" w:hAnsi="Times New Roman" w:cs="Times New Roman"/>
                <w:b w:val="0"/>
                <w:bCs w:val="0"/>
              </w:rPr>
            </w:pPr>
          </w:p>
        </w:tc>
        <w:tc>
          <w:tcPr>
            <w:tcW w:w="474" w:type="pct"/>
            <w:vAlign w:val="center"/>
            <w:hideMark/>
          </w:tcPr>
          <w:p w14:paraId="02969683" w14:textId="43E395ED"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Yes</w:t>
            </w:r>
          </w:p>
        </w:tc>
        <w:tc>
          <w:tcPr>
            <w:tcW w:w="314" w:type="pct"/>
            <w:gridSpan w:val="2"/>
            <w:vAlign w:val="center"/>
            <w:hideMark/>
          </w:tcPr>
          <w:p w14:paraId="6618C14E"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6</w:t>
            </w:r>
          </w:p>
        </w:tc>
        <w:tc>
          <w:tcPr>
            <w:tcW w:w="460" w:type="pct"/>
            <w:vAlign w:val="center"/>
            <w:hideMark/>
          </w:tcPr>
          <w:p w14:paraId="5EBCC380"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20.0%</w:t>
            </w:r>
          </w:p>
        </w:tc>
        <w:tc>
          <w:tcPr>
            <w:tcW w:w="272" w:type="pct"/>
            <w:gridSpan w:val="2"/>
            <w:vAlign w:val="center"/>
            <w:hideMark/>
          </w:tcPr>
          <w:p w14:paraId="0AA4E124"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4</w:t>
            </w:r>
          </w:p>
        </w:tc>
        <w:tc>
          <w:tcPr>
            <w:tcW w:w="501" w:type="pct"/>
            <w:gridSpan w:val="2"/>
            <w:vAlign w:val="center"/>
            <w:hideMark/>
          </w:tcPr>
          <w:p w14:paraId="725DDB2C"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20.0%</w:t>
            </w:r>
          </w:p>
        </w:tc>
        <w:tc>
          <w:tcPr>
            <w:tcW w:w="272" w:type="pct"/>
            <w:gridSpan w:val="2"/>
            <w:vAlign w:val="center"/>
            <w:hideMark/>
          </w:tcPr>
          <w:p w14:paraId="15AE1090"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4</w:t>
            </w:r>
          </w:p>
        </w:tc>
        <w:tc>
          <w:tcPr>
            <w:tcW w:w="503" w:type="pct"/>
            <w:vAlign w:val="center"/>
            <w:hideMark/>
          </w:tcPr>
          <w:p w14:paraId="51BE153D"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20.0%</w:t>
            </w:r>
          </w:p>
        </w:tc>
        <w:tc>
          <w:tcPr>
            <w:tcW w:w="272" w:type="pct"/>
            <w:gridSpan w:val="2"/>
            <w:vAlign w:val="center"/>
            <w:hideMark/>
          </w:tcPr>
          <w:p w14:paraId="0441B675"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10</w:t>
            </w:r>
          </w:p>
        </w:tc>
        <w:tc>
          <w:tcPr>
            <w:tcW w:w="501" w:type="pct"/>
            <w:gridSpan w:val="2"/>
            <w:vAlign w:val="center"/>
            <w:hideMark/>
          </w:tcPr>
          <w:p w14:paraId="68014C31" w14:textId="77777777"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33.3%</w:t>
            </w:r>
          </w:p>
        </w:tc>
        <w:tc>
          <w:tcPr>
            <w:tcW w:w="688" w:type="pct"/>
            <w:vMerge/>
            <w:vAlign w:val="center"/>
            <w:hideMark/>
          </w:tcPr>
          <w:p w14:paraId="44FB6611" w14:textId="77777777" w:rsidR="00235F12" w:rsidRPr="008A6667" w:rsidRDefault="00235F12" w:rsidP="000C6CB0">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35F12" w:rsidRPr="008A6667" w14:paraId="32C1995A"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1216" w:type="pct"/>
            <w:gridSpan w:val="2"/>
            <w:vMerge w:val="restart"/>
            <w:vAlign w:val="center"/>
          </w:tcPr>
          <w:p w14:paraId="6BAED4AE" w14:textId="77777777" w:rsidR="00235F12" w:rsidRPr="008A6667" w:rsidRDefault="00235F12" w:rsidP="000C6CB0">
            <w:pPr>
              <w:spacing w:line="276" w:lineRule="auto"/>
              <w:jc w:val="center"/>
              <w:textAlignment w:val="top"/>
              <w:rPr>
                <w:rFonts w:ascii="Times New Roman" w:hAnsi="Times New Roman" w:cs="Times New Roman"/>
                <w:b w:val="0"/>
                <w:bCs w:val="0"/>
              </w:rPr>
            </w:pPr>
          </w:p>
        </w:tc>
        <w:tc>
          <w:tcPr>
            <w:tcW w:w="774" w:type="pct"/>
            <w:gridSpan w:val="3"/>
            <w:vAlign w:val="center"/>
          </w:tcPr>
          <w:p w14:paraId="3E93FFC9"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Group (1)</w:t>
            </w:r>
          </w:p>
          <w:p w14:paraId="1064A9C6" w14:textId="4EC88A1A"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(N= 20)</w:t>
            </w:r>
          </w:p>
        </w:tc>
        <w:tc>
          <w:tcPr>
            <w:tcW w:w="774" w:type="pct"/>
            <w:gridSpan w:val="4"/>
            <w:vAlign w:val="center"/>
          </w:tcPr>
          <w:p w14:paraId="7E66D73E"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Group (2)</w:t>
            </w:r>
          </w:p>
          <w:p w14:paraId="08DECD2D" w14:textId="4A5C5085"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(N= 38)</w:t>
            </w:r>
          </w:p>
        </w:tc>
        <w:tc>
          <w:tcPr>
            <w:tcW w:w="775" w:type="pct"/>
            <w:gridSpan w:val="3"/>
            <w:vAlign w:val="center"/>
          </w:tcPr>
          <w:p w14:paraId="5289E6D7"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Group (3)</w:t>
            </w:r>
          </w:p>
          <w:p w14:paraId="3998715B" w14:textId="0F69AEDC"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(N= 22)</w:t>
            </w:r>
          </w:p>
        </w:tc>
        <w:tc>
          <w:tcPr>
            <w:tcW w:w="773" w:type="pct"/>
            <w:gridSpan w:val="4"/>
            <w:vAlign w:val="center"/>
          </w:tcPr>
          <w:p w14:paraId="6465DED9" w14:textId="7777777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Group (4)</w:t>
            </w:r>
          </w:p>
          <w:p w14:paraId="72FB4941" w14:textId="33231C20"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(N= 20)</w:t>
            </w:r>
          </w:p>
        </w:tc>
        <w:tc>
          <w:tcPr>
            <w:tcW w:w="688" w:type="pct"/>
            <w:vMerge w:val="restart"/>
            <w:vAlign w:val="center"/>
          </w:tcPr>
          <w:p w14:paraId="127522B8" w14:textId="04B326E3" w:rsidR="00235F12" w:rsidRPr="008A6667" w:rsidRDefault="00235F12" w:rsidP="000C6CB0">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P-value</w:t>
            </w:r>
          </w:p>
        </w:tc>
      </w:tr>
      <w:tr w:rsidR="00235F12" w:rsidRPr="008A6667" w14:paraId="5CB511E0"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gridSpan w:val="2"/>
            <w:vMerge/>
            <w:vAlign w:val="center"/>
          </w:tcPr>
          <w:p w14:paraId="5E20057B" w14:textId="77777777" w:rsidR="00235F12" w:rsidRPr="008A6667" w:rsidRDefault="00235F12" w:rsidP="000C6CB0">
            <w:pPr>
              <w:spacing w:line="276" w:lineRule="auto"/>
              <w:jc w:val="center"/>
              <w:textAlignment w:val="top"/>
              <w:rPr>
                <w:rFonts w:ascii="Times New Roman" w:hAnsi="Times New Roman" w:cs="Times New Roman"/>
                <w:b w:val="0"/>
                <w:bCs w:val="0"/>
              </w:rPr>
            </w:pPr>
          </w:p>
        </w:tc>
        <w:tc>
          <w:tcPr>
            <w:tcW w:w="314" w:type="pct"/>
            <w:gridSpan w:val="2"/>
            <w:vAlign w:val="center"/>
          </w:tcPr>
          <w:p w14:paraId="0D7F17E1" w14:textId="64FAC3AD"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 xml:space="preserve">N </w:t>
            </w:r>
          </w:p>
        </w:tc>
        <w:tc>
          <w:tcPr>
            <w:tcW w:w="460" w:type="pct"/>
            <w:vAlign w:val="center"/>
          </w:tcPr>
          <w:p w14:paraId="5FC3BE32" w14:textId="0331ABB4"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w:t>
            </w:r>
          </w:p>
        </w:tc>
        <w:tc>
          <w:tcPr>
            <w:tcW w:w="272" w:type="pct"/>
            <w:gridSpan w:val="2"/>
            <w:vAlign w:val="center"/>
          </w:tcPr>
          <w:p w14:paraId="73646B7D" w14:textId="2394C26D"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 xml:space="preserve">N </w:t>
            </w:r>
          </w:p>
        </w:tc>
        <w:tc>
          <w:tcPr>
            <w:tcW w:w="501" w:type="pct"/>
            <w:gridSpan w:val="2"/>
            <w:vAlign w:val="center"/>
          </w:tcPr>
          <w:p w14:paraId="6E7C86C1" w14:textId="1CF3A59F"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w:t>
            </w:r>
          </w:p>
        </w:tc>
        <w:tc>
          <w:tcPr>
            <w:tcW w:w="272" w:type="pct"/>
            <w:gridSpan w:val="2"/>
            <w:vAlign w:val="center"/>
          </w:tcPr>
          <w:p w14:paraId="3A4A8D21" w14:textId="4A257CF5"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 xml:space="preserve">N </w:t>
            </w:r>
          </w:p>
        </w:tc>
        <w:tc>
          <w:tcPr>
            <w:tcW w:w="503" w:type="pct"/>
            <w:vAlign w:val="center"/>
          </w:tcPr>
          <w:p w14:paraId="5914FDEF" w14:textId="1B37A5B0"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w:t>
            </w:r>
          </w:p>
        </w:tc>
        <w:tc>
          <w:tcPr>
            <w:tcW w:w="272" w:type="pct"/>
            <w:gridSpan w:val="2"/>
            <w:vAlign w:val="center"/>
          </w:tcPr>
          <w:p w14:paraId="155E9697" w14:textId="40DC0CE1"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 xml:space="preserve">N </w:t>
            </w:r>
          </w:p>
        </w:tc>
        <w:tc>
          <w:tcPr>
            <w:tcW w:w="501" w:type="pct"/>
            <w:gridSpan w:val="2"/>
            <w:vAlign w:val="center"/>
          </w:tcPr>
          <w:p w14:paraId="68C3CD62" w14:textId="54E6F991"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w:t>
            </w:r>
          </w:p>
        </w:tc>
        <w:tc>
          <w:tcPr>
            <w:tcW w:w="688" w:type="pct"/>
            <w:vMerge/>
            <w:vAlign w:val="center"/>
          </w:tcPr>
          <w:p w14:paraId="522125D4" w14:textId="77777777" w:rsidR="00235F12" w:rsidRPr="008A6667" w:rsidRDefault="00235F12" w:rsidP="000C6CB0">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35F12" w:rsidRPr="008A6667" w14:paraId="02714705" w14:textId="77777777" w:rsidTr="004D0C5A">
        <w:trPr>
          <w:trHeight w:val="20"/>
        </w:trPr>
        <w:tc>
          <w:tcPr>
            <w:cnfStyle w:val="001000000000" w:firstRow="0" w:lastRow="0" w:firstColumn="1" w:lastColumn="0" w:oddVBand="0" w:evenVBand="0" w:oddHBand="0" w:evenHBand="0" w:firstRowFirstColumn="0" w:firstRowLastColumn="0" w:lastRowFirstColumn="0" w:lastRowLastColumn="0"/>
            <w:tcW w:w="742" w:type="pct"/>
            <w:vMerge w:val="restart"/>
            <w:vAlign w:val="center"/>
          </w:tcPr>
          <w:p w14:paraId="44E62B70" w14:textId="0ED4DFF3" w:rsidR="00235F12" w:rsidRPr="008A6667" w:rsidRDefault="00235F12" w:rsidP="000C6CB0">
            <w:pPr>
              <w:spacing w:line="256" w:lineRule="auto"/>
              <w:jc w:val="center"/>
              <w:rPr>
                <w:rFonts w:ascii="Times New Roman" w:hAnsi="Times New Roman" w:cs="Times New Roman"/>
                <w:b w:val="0"/>
                <w:bCs w:val="0"/>
              </w:rPr>
            </w:pPr>
            <w:r w:rsidRPr="008A6667">
              <w:rPr>
                <w:rFonts w:ascii="Times New Roman" w:hAnsi="Times New Roman" w:cs="Times New Roman"/>
              </w:rPr>
              <w:t>Myocardial injury</w:t>
            </w:r>
          </w:p>
        </w:tc>
        <w:tc>
          <w:tcPr>
            <w:tcW w:w="474" w:type="pct"/>
            <w:vAlign w:val="center"/>
          </w:tcPr>
          <w:p w14:paraId="4D1D53CF" w14:textId="17A01F68"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 xml:space="preserve">No  </w:t>
            </w:r>
          </w:p>
        </w:tc>
        <w:tc>
          <w:tcPr>
            <w:tcW w:w="314" w:type="pct"/>
            <w:gridSpan w:val="2"/>
          </w:tcPr>
          <w:p w14:paraId="79250A28" w14:textId="74E1A01C"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12</w:t>
            </w:r>
          </w:p>
        </w:tc>
        <w:tc>
          <w:tcPr>
            <w:tcW w:w="460" w:type="pct"/>
          </w:tcPr>
          <w:p w14:paraId="1D039832" w14:textId="0EC84F61"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60.0%</w:t>
            </w:r>
          </w:p>
        </w:tc>
        <w:tc>
          <w:tcPr>
            <w:tcW w:w="272" w:type="pct"/>
            <w:gridSpan w:val="2"/>
          </w:tcPr>
          <w:p w14:paraId="2DF26CCA" w14:textId="359A03CC"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34</w:t>
            </w:r>
          </w:p>
        </w:tc>
        <w:tc>
          <w:tcPr>
            <w:tcW w:w="501" w:type="pct"/>
            <w:gridSpan w:val="2"/>
          </w:tcPr>
          <w:p w14:paraId="484444D1" w14:textId="70906E7E"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89.5%</w:t>
            </w:r>
          </w:p>
        </w:tc>
        <w:tc>
          <w:tcPr>
            <w:tcW w:w="272" w:type="pct"/>
            <w:gridSpan w:val="2"/>
          </w:tcPr>
          <w:p w14:paraId="7E10F20B" w14:textId="6FEBB941"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19</w:t>
            </w:r>
          </w:p>
        </w:tc>
        <w:tc>
          <w:tcPr>
            <w:tcW w:w="503" w:type="pct"/>
          </w:tcPr>
          <w:p w14:paraId="6B229451" w14:textId="412ED897"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86.4%</w:t>
            </w:r>
          </w:p>
        </w:tc>
        <w:tc>
          <w:tcPr>
            <w:tcW w:w="272" w:type="pct"/>
            <w:gridSpan w:val="2"/>
          </w:tcPr>
          <w:p w14:paraId="28A0DF3D" w14:textId="3D37FAF0"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11</w:t>
            </w:r>
          </w:p>
        </w:tc>
        <w:tc>
          <w:tcPr>
            <w:tcW w:w="501" w:type="pct"/>
            <w:gridSpan w:val="2"/>
          </w:tcPr>
          <w:p w14:paraId="3EA0EBB8" w14:textId="27A29A1D" w:rsidR="00235F12" w:rsidRPr="008A6667" w:rsidRDefault="00235F12" w:rsidP="000C6CB0">
            <w:pPr>
              <w:spacing w:line="276" w:lineRule="auto"/>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55.0%</w:t>
            </w:r>
          </w:p>
        </w:tc>
        <w:tc>
          <w:tcPr>
            <w:tcW w:w="688" w:type="pct"/>
            <w:vMerge w:val="restart"/>
            <w:vAlign w:val="center"/>
          </w:tcPr>
          <w:p w14:paraId="48DDDCED" w14:textId="0933C384" w:rsidR="00235F12" w:rsidRPr="008A6667" w:rsidRDefault="00235F12" w:rsidP="000C6CB0">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b/>
                <w:bCs/>
              </w:rPr>
              <w:t>0.005**</w:t>
            </w:r>
          </w:p>
        </w:tc>
      </w:tr>
      <w:tr w:rsidR="00235F12" w:rsidRPr="008A6667" w14:paraId="37297284" w14:textId="77777777" w:rsidTr="004D0C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2" w:type="pct"/>
            <w:vMerge/>
            <w:vAlign w:val="center"/>
          </w:tcPr>
          <w:p w14:paraId="4F590908" w14:textId="77777777" w:rsidR="00235F12" w:rsidRPr="008A6667" w:rsidRDefault="00235F12" w:rsidP="000C6CB0">
            <w:pPr>
              <w:spacing w:line="256" w:lineRule="auto"/>
              <w:jc w:val="center"/>
              <w:rPr>
                <w:rFonts w:ascii="Times New Roman" w:hAnsi="Times New Roman" w:cs="Times New Roman"/>
                <w:b w:val="0"/>
                <w:bCs w:val="0"/>
              </w:rPr>
            </w:pPr>
          </w:p>
        </w:tc>
        <w:tc>
          <w:tcPr>
            <w:tcW w:w="474" w:type="pct"/>
            <w:vAlign w:val="center"/>
          </w:tcPr>
          <w:p w14:paraId="25BC5319" w14:textId="4C1AF3D1"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6667">
              <w:rPr>
                <w:rFonts w:ascii="Times New Roman" w:hAnsi="Times New Roman" w:cs="Times New Roman"/>
                <w:b/>
                <w:bCs/>
              </w:rPr>
              <w:t xml:space="preserve">Yes   </w:t>
            </w:r>
          </w:p>
        </w:tc>
        <w:tc>
          <w:tcPr>
            <w:tcW w:w="314" w:type="pct"/>
            <w:gridSpan w:val="2"/>
          </w:tcPr>
          <w:p w14:paraId="44CC9BBB" w14:textId="410865CD"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8</w:t>
            </w:r>
          </w:p>
        </w:tc>
        <w:tc>
          <w:tcPr>
            <w:tcW w:w="460" w:type="pct"/>
          </w:tcPr>
          <w:p w14:paraId="787F30DE" w14:textId="7A36513F"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40.0%</w:t>
            </w:r>
          </w:p>
        </w:tc>
        <w:tc>
          <w:tcPr>
            <w:tcW w:w="272" w:type="pct"/>
            <w:gridSpan w:val="2"/>
          </w:tcPr>
          <w:p w14:paraId="4282AFFB" w14:textId="10D7CDAF"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4</w:t>
            </w:r>
          </w:p>
        </w:tc>
        <w:tc>
          <w:tcPr>
            <w:tcW w:w="501" w:type="pct"/>
            <w:gridSpan w:val="2"/>
          </w:tcPr>
          <w:p w14:paraId="2AA6096D" w14:textId="41FA665A"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10.5%</w:t>
            </w:r>
          </w:p>
        </w:tc>
        <w:tc>
          <w:tcPr>
            <w:tcW w:w="272" w:type="pct"/>
            <w:gridSpan w:val="2"/>
          </w:tcPr>
          <w:p w14:paraId="3EC45AE3" w14:textId="3E3551E1"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3</w:t>
            </w:r>
          </w:p>
        </w:tc>
        <w:tc>
          <w:tcPr>
            <w:tcW w:w="503" w:type="pct"/>
          </w:tcPr>
          <w:p w14:paraId="0DDF8A76" w14:textId="1E92EDA5"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13.6%</w:t>
            </w:r>
          </w:p>
        </w:tc>
        <w:tc>
          <w:tcPr>
            <w:tcW w:w="272" w:type="pct"/>
            <w:gridSpan w:val="2"/>
          </w:tcPr>
          <w:p w14:paraId="53CF9C18" w14:textId="05B3A2AB"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9</w:t>
            </w:r>
          </w:p>
        </w:tc>
        <w:tc>
          <w:tcPr>
            <w:tcW w:w="501" w:type="pct"/>
            <w:gridSpan w:val="2"/>
          </w:tcPr>
          <w:p w14:paraId="5EA42CA5" w14:textId="577437C9" w:rsidR="00235F12" w:rsidRPr="008A6667" w:rsidRDefault="00235F12" w:rsidP="000C6CB0">
            <w:pPr>
              <w:spacing w:line="276" w:lineRule="auto"/>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667">
              <w:rPr>
                <w:rFonts w:ascii="Times New Roman" w:hAnsi="Times New Roman" w:cs="Times New Roman"/>
              </w:rPr>
              <w:t>45.0%</w:t>
            </w:r>
          </w:p>
        </w:tc>
        <w:tc>
          <w:tcPr>
            <w:tcW w:w="688" w:type="pct"/>
            <w:vMerge/>
            <w:vAlign w:val="center"/>
          </w:tcPr>
          <w:p w14:paraId="62A6E198" w14:textId="77777777" w:rsidR="00235F12" w:rsidRPr="008A6667" w:rsidRDefault="00235F12" w:rsidP="000C6CB0">
            <w:pPr>
              <w:spacing w:line="25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0F0328E" w14:textId="0A892014" w:rsidR="00235F12" w:rsidRPr="00235F12" w:rsidRDefault="004D0C5A" w:rsidP="00235F12">
      <w:pPr>
        <w:spacing w:after="0" w:line="240" w:lineRule="auto"/>
        <w:rPr>
          <w:rFonts w:ascii="Times New Roman" w:eastAsia="Calibri" w:hAnsi="Times New Roman" w:cs="Times New Roman"/>
          <w:sz w:val="16"/>
          <w:szCs w:val="16"/>
        </w:rPr>
      </w:pPr>
      <w:r w:rsidRPr="004D0C5A">
        <w:rPr>
          <w:rFonts w:ascii="Times New Roman" w:eastAsia="Calibri" w:hAnsi="Times New Roman" w:cs="Times New Roman"/>
          <w:bCs/>
          <w:sz w:val="18"/>
          <w:szCs w:val="18"/>
          <w:lang w:bidi="ar-EG"/>
        </w:rPr>
        <w:t>Data presents as mean ± SD or frequency (%)</w:t>
      </w:r>
      <w:r>
        <w:rPr>
          <w:rFonts w:ascii="Times New Roman" w:eastAsia="Calibri" w:hAnsi="Times New Roman" w:cs="Times New Roman"/>
          <w:bCs/>
          <w:sz w:val="18"/>
          <w:szCs w:val="18"/>
          <w:lang w:bidi="ar-EG"/>
        </w:rPr>
        <w:t xml:space="preserve">. </w:t>
      </w:r>
      <w:r w:rsidR="00235F12" w:rsidRPr="00235F12">
        <w:rPr>
          <w:rFonts w:ascii="Times New Roman" w:eastAsia="Calibri" w:hAnsi="Times New Roman" w:cs="Times New Roman"/>
          <w:bCs/>
          <w:sz w:val="18"/>
          <w:szCs w:val="18"/>
          <w:lang w:bidi="ar-EG"/>
        </w:rPr>
        <w:t>*p≤0.05 is significant, **p≤0.01 is highly significant,</w:t>
      </w:r>
      <w:r w:rsidR="00235F12" w:rsidRPr="00235F12">
        <w:rPr>
          <w:rFonts w:ascii="Times New Roman" w:eastAsia="Calibri" w:hAnsi="Times New Roman" w:cs="Times New Roman"/>
          <w:sz w:val="16"/>
          <w:szCs w:val="16"/>
        </w:rPr>
        <w:t xml:space="preserve"> </w:t>
      </w:r>
    </w:p>
    <w:p w14:paraId="757339BA" w14:textId="77777777" w:rsidR="00FC039A" w:rsidRPr="00DF16A5" w:rsidRDefault="00FC039A">
      <w:pPr>
        <w:rPr>
          <w:rFonts w:ascii="Times New Roman" w:eastAsia="Calibri" w:hAnsi="Times New Roman" w:cs="Times New Roman"/>
          <w:b/>
          <w:bCs/>
          <w:sz w:val="24"/>
          <w:szCs w:val="24"/>
          <w:highlight w:val="yellow"/>
        </w:rPr>
      </w:pPr>
      <w:r w:rsidRPr="00DF16A5">
        <w:rPr>
          <w:rFonts w:ascii="Times New Roman" w:eastAsia="Calibri" w:hAnsi="Times New Roman" w:cs="Times New Roman"/>
          <w:b/>
          <w:bCs/>
          <w:sz w:val="24"/>
          <w:szCs w:val="24"/>
          <w:highlight w:val="yellow"/>
        </w:rPr>
        <w:br w:type="page"/>
      </w:r>
    </w:p>
    <w:p w14:paraId="17136998" w14:textId="2F7317DE" w:rsidR="00C36030" w:rsidRDefault="00C36030" w:rsidP="00C36030">
      <w:pPr>
        <w:pStyle w:val="Caption"/>
        <w:spacing w:after="0"/>
      </w:pPr>
      <w:r>
        <w:lastRenderedPageBreak/>
        <w:t xml:space="preserve">Table </w:t>
      </w:r>
      <w:r>
        <w:fldChar w:fldCharType="begin"/>
      </w:r>
      <w:r>
        <w:instrText xml:space="preserve"> SEQ Table \* ARABIC </w:instrText>
      </w:r>
      <w:r>
        <w:fldChar w:fldCharType="separate"/>
      </w:r>
      <w:r w:rsidR="00583979">
        <w:rPr>
          <w:noProof/>
        </w:rPr>
        <w:t>4</w:t>
      </w:r>
      <w:r>
        <w:fldChar w:fldCharType="end"/>
      </w:r>
      <w:r>
        <w:t>:</w:t>
      </w:r>
      <w:r w:rsidRPr="00C36030">
        <w:t xml:space="preserve"> Relation between </w:t>
      </w:r>
      <w:proofErr w:type="spellStart"/>
      <w:r w:rsidRPr="00C36030">
        <w:t>hs-cTnT</w:t>
      </w:r>
      <w:proofErr w:type="spellEnd"/>
      <w:r w:rsidRPr="00C36030">
        <w:t xml:space="preserve">, </w:t>
      </w:r>
      <w:proofErr w:type="spellStart"/>
      <w:r w:rsidRPr="00C36030">
        <w:t>hs-cTnI</w:t>
      </w:r>
      <w:proofErr w:type="spellEnd"/>
      <w:r w:rsidRPr="00C36030">
        <w:t xml:space="preserve"> and CK-MB in detection of myocardial injury</w:t>
      </w:r>
    </w:p>
    <w:tbl>
      <w:tblPr>
        <w:tblStyle w:val="GridTable6Colorful11"/>
        <w:tblW w:w="6107" w:type="pct"/>
        <w:tblInd w:w="-431" w:type="dxa"/>
        <w:tblLayout w:type="fixed"/>
        <w:tblLook w:val="04A0" w:firstRow="1" w:lastRow="0" w:firstColumn="1" w:lastColumn="0" w:noHBand="0" w:noVBand="1"/>
      </w:tblPr>
      <w:tblGrid>
        <w:gridCol w:w="1135"/>
        <w:gridCol w:w="708"/>
        <w:gridCol w:w="567"/>
        <w:gridCol w:w="993"/>
        <w:gridCol w:w="567"/>
        <w:gridCol w:w="504"/>
        <w:gridCol w:w="487"/>
        <w:gridCol w:w="430"/>
        <w:gridCol w:w="721"/>
        <w:gridCol w:w="554"/>
        <w:gridCol w:w="917"/>
        <w:gridCol w:w="552"/>
        <w:gridCol w:w="557"/>
        <w:gridCol w:w="552"/>
        <w:gridCol w:w="525"/>
        <w:gridCol w:w="772"/>
      </w:tblGrid>
      <w:tr w:rsidR="00EF3D21" w:rsidRPr="00C36030" w14:paraId="7C330E46" w14:textId="77777777" w:rsidTr="00EF3D21">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38" w:type="pct"/>
            <w:vMerge w:val="restart"/>
            <w:vAlign w:val="center"/>
          </w:tcPr>
          <w:p w14:paraId="216BEC37" w14:textId="77777777" w:rsidR="00EF3D21" w:rsidRPr="00C36030" w:rsidRDefault="00EF3D21" w:rsidP="000C6CB0">
            <w:pPr>
              <w:bidi/>
              <w:spacing w:line="276" w:lineRule="auto"/>
              <w:jc w:val="center"/>
              <w:rPr>
                <w:rFonts w:ascii="Times New Roman" w:eastAsia="Times New Roman" w:hAnsi="Times New Roman" w:cs="Times New Roman"/>
                <w:sz w:val="20"/>
                <w:szCs w:val="20"/>
                <w:lang w:bidi="ar-EG"/>
              </w:rPr>
            </w:pPr>
          </w:p>
        </w:tc>
        <w:tc>
          <w:tcPr>
            <w:tcW w:w="2019" w:type="pct"/>
            <w:gridSpan w:val="7"/>
            <w:vAlign w:val="center"/>
          </w:tcPr>
          <w:p w14:paraId="4451CDC0" w14:textId="77777777" w:rsidR="00EF3D21" w:rsidRPr="00C36030" w:rsidRDefault="00EF3D21" w:rsidP="000C6CB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36030">
              <w:rPr>
                <w:rFonts w:ascii="Times New Roman" w:hAnsi="Times New Roman" w:cs="Times New Roman"/>
                <w:sz w:val="20"/>
                <w:szCs w:val="20"/>
              </w:rPr>
              <w:t>No myocardial affection</w:t>
            </w:r>
          </w:p>
        </w:tc>
        <w:tc>
          <w:tcPr>
            <w:tcW w:w="2077" w:type="pct"/>
            <w:gridSpan w:val="7"/>
            <w:vAlign w:val="center"/>
          </w:tcPr>
          <w:p w14:paraId="114F1B71" w14:textId="77777777" w:rsidR="00EF3D21" w:rsidRPr="00C36030" w:rsidRDefault="00EF3D21" w:rsidP="000C6CB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C36030">
              <w:rPr>
                <w:rFonts w:ascii="Times New Roman" w:hAnsi="Times New Roman" w:cs="Times New Roman"/>
                <w:sz w:val="20"/>
                <w:szCs w:val="20"/>
              </w:rPr>
              <w:t>Myocardial affection</w:t>
            </w:r>
          </w:p>
        </w:tc>
        <w:tc>
          <w:tcPr>
            <w:tcW w:w="366" w:type="pct"/>
            <w:vMerge w:val="restart"/>
            <w:vAlign w:val="center"/>
          </w:tcPr>
          <w:p w14:paraId="22DC659D" w14:textId="3003A651" w:rsidR="00EF3D21" w:rsidRPr="00C36030" w:rsidRDefault="00EF3D21" w:rsidP="000C6CB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C36030">
              <w:rPr>
                <w:rFonts w:ascii="Times New Roman" w:eastAsia="Times New Roman" w:hAnsi="Times New Roman" w:cs="Times New Roman"/>
                <w:sz w:val="20"/>
                <w:szCs w:val="20"/>
                <w:lang w:bidi="ar-EG"/>
              </w:rPr>
              <w:t>P-value</w:t>
            </w:r>
          </w:p>
        </w:tc>
      </w:tr>
      <w:tr w:rsidR="00EF3D21" w:rsidRPr="00C36030" w14:paraId="121038E4" w14:textId="77777777" w:rsidTr="00EF3D21">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38" w:type="pct"/>
            <w:vMerge/>
            <w:vAlign w:val="center"/>
            <w:hideMark/>
          </w:tcPr>
          <w:p w14:paraId="4DB79641" w14:textId="77777777" w:rsidR="00EF3D21" w:rsidRPr="00C36030" w:rsidRDefault="00EF3D21" w:rsidP="000C6CB0">
            <w:pPr>
              <w:spacing w:line="256" w:lineRule="auto"/>
              <w:jc w:val="center"/>
              <w:rPr>
                <w:rFonts w:ascii="Times New Roman" w:eastAsia="Times New Roman" w:hAnsi="Times New Roman" w:cs="Times New Roman"/>
                <w:sz w:val="20"/>
                <w:szCs w:val="20"/>
                <w:lang w:bidi="ar-EG"/>
              </w:rPr>
            </w:pPr>
          </w:p>
        </w:tc>
        <w:tc>
          <w:tcPr>
            <w:tcW w:w="336" w:type="pct"/>
            <w:vAlign w:val="center"/>
          </w:tcPr>
          <w:p w14:paraId="170C1B26"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Mean</w:t>
            </w:r>
          </w:p>
        </w:tc>
        <w:tc>
          <w:tcPr>
            <w:tcW w:w="269" w:type="pct"/>
            <w:vAlign w:val="center"/>
          </w:tcPr>
          <w:p w14:paraId="467A4AFC"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SD</w:t>
            </w:r>
          </w:p>
        </w:tc>
        <w:tc>
          <w:tcPr>
            <w:tcW w:w="471" w:type="pct"/>
            <w:vAlign w:val="center"/>
            <w:hideMark/>
          </w:tcPr>
          <w:p w14:paraId="5C9B78A4"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Median</w:t>
            </w:r>
          </w:p>
        </w:tc>
        <w:tc>
          <w:tcPr>
            <w:tcW w:w="508" w:type="pct"/>
            <w:gridSpan w:val="2"/>
            <w:vAlign w:val="center"/>
            <w:hideMark/>
          </w:tcPr>
          <w:p w14:paraId="53701646"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IQR</w:t>
            </w:r>
          </w:p>
        </w:tc>
        <w:tc>
          <w:tcPr>
            <w:tcW w:w="435" w:type="pct"/>
            <w:gridSpan w:val="2"/>
            <w:vAlign w:val="center"/>
          </w:tcPr>
          <w:p w14:paraId="0E136E73"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bookmarkStart w:id="16" w:name="_Hlk204005836"/>
            <w:r w:rsidRPr="00C36030">
              <w:rPr>
                <w:rFonts w:ascii="Times New Roman" w:hAnsi="Times New Roman" w:cs="Times New Roman"/>
                <w:b/>
                <w:bCs/>
                <w:color w:val="121212"/>
                <w:sz w:val="20"/>
                <w:szCs w:val="20"/>
              </w:rPr>
              <w:t>Range</w:t>
            </w:r>
            <w:bookmarkEnd w:id="16"/>
          </w:p>
        </w:tc>
        <w:tc>
          <w:tcPr>
            <w:tcW w:w="342" w:type="pct"/>
            <w:vAlign w:val="center"/>
          </w:tcPr>
          <w:p w14:paraId="1A80DE4A"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Mean</w:t>
            </w:r>
          </w:p>
        </w:tc>
        <w:tc>
          <w:tcPr>
            <w:tcW w:w="263" w:type="pct"/>
            <w:vAlign w:val="center"/>
          </w:tcPr>
          <w:p w14:paraId="5CDC6C50"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SD</w:t>
            </w:r>
          </w:p>
        </w:tc>
        <w:tc>
          <w:tcPr>
            <w:tcW w:w="435" w:type="pct"/>
            <w:vAlign w:val="center"/>
            <w:hideMark/>
          </w:tcPr>
          <w:p w14:paraId="0F341215"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Median</w:t>
            </w:r>
          </w:p>
        </w:tc>
        <w:tc>
          <w:tcPr>
            <w:tcW w:w="526" w:type="pct"/>
            <w:gridSpan w:val="2"/>
            <w:vAlign w:val="center"/>
            <w:hideMark/>
          </w:tcPr>
          <w:p w14:paraId="5BA65B03"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r w:rsidRPr="00C36030">
              <w:rPr>
                <w:rFonts w:ascii="Times New Roman" w:hAnsi="Times New Roman" w:cs="Times New Roman"/>
                <w:b/>
                <w:bCs/>
                <w:color w:val="121212"/>
                <w:sz w:val="20"/>
                <w:szCs w:val="20"/>
              </w:rPr>
              <w:t>IQR</w:t>
            </w:r>
          </w:p>
        </w:tc>
        <w:tc>
          <w:tcPr>
            <w:tcW w:w="511" w:type="pct"/>
            <w:gridSpan w:val="2"/>
            <w:vAlign w:val="center"/>
          </w:tcPr>
          <w:p w14:paraId="17FE6273" w14:textId="7777777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vertAlign w:val="superscript"/>
                <w:lang w:bidi="ar-EG"/>
              </w:rPr>
            </w:pPr>
            <w:r w:rsidRPr="00C36030">
              <w:rPr>
                <w:rFonts w:ascii="Times New Roman" w:hAnsi="Times New Roman" w:cs="Times New Roman"/>
                <w:b/>
                <w:bCs/>
                <w:color w:val="121212"/>
                <w:sz w:val="20"/>
                <w:szCs w:val="20"/>
              </w:rPr>
              <w:t>Range</w:t>
            </w:r>
          </w:p>
        </w:tc>
        <w:tc>
          <w:tcPr>
            <w:tcW w:w="366" w:type="pct"/>
            <w:vMerge/>
            <w:vAlign w:val="center"/>
            <w:hideMark/>
          </w:tcPr>
          <w:p w14:paraId="2CE96D3B" w14:textId="1B15D7C7" w:rsidR="00EF3D21" w:rsidRPr="00C36030" w:rsidRDefault="00EF3D21" w:rsidP="000C6CB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bidi="ar-EG"/>
              </w:rPr>
            </w:pPr>
          </w:p>
        </w:tc>
      </w:tr>
      <w:tr w:rsidR="00EF3D21" w:rsidRPr="00C36030" w14:paraId="2DC9D294" w14:textId="77777777" w:rsidTr="008A6667">
        <w:trPr>
          <w:trHeight w:val="17"/>
        </w:trPr>
        <w:tc>
          <w:tcPr>
            <w:cnfStyle w:val="001000000000" w:firstRow="0" w:lastRow="0" w:firstColumn="1" w:lastColumn="0" w:oddVBand="0" w:evenVBand="0" w:oddHBand="0" w:evenHBand="0" w:firstRowFirstColumn="0" w:firstRowLastColumn="0" w:lastRowFirstColumn="0" w:lastRowLastColumn="0"/>
            <w:tcW w:w="538" w:type="pct"/>
            <w:vAlign w:val="center"/>
            <w:hideMark/>
          </w:tcPr>
          <w:p w14:paraId="5D729746" w14:textId="77777777" w:rsidR="00EF3D21" w:rsidRDefault="00C36030" w:rsidP="000C6CB0">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Pre</w:t>
            </w:r>
          </w:p>
          <w:p w14:paraId="13634F1C" w14:textId="054FB22A" w:rsidR="00C36030" w:rsidRPr="00C36030" w:rsidRDefault="00C36030" w:rsidP="00EF3D21">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w:t>
            </w:r>
            <w:proofErr w:type="spellStart"/>
            <w:r w:rsidRPr="00C36030">
              <w:rPr>
                <w:rFonts w:ascii="Times New Roman" w:hAnsi="Times New Roman" w:cs="Times New Roman"/>
                <w:sz w:val="20"/>
                <w:szCs w:val="20"/>
              </w:rPr>
              <w:t>hs-cTnt</w:t>
            </w:r>
            <w:proofErr w:type="spellEnd"/>
            <w:r w:rsidRPr="00C36030">
              <w:rPr>
                <w:rFonts w:ascii="Times New Roman" w:hAnsi="Times New Roman" w:cs="Times New Roman"/>
                <w:sz w:val="20"/>
                <w:szCs w:val="20"/>
              </w:rPr>
              <w:t>)</w:t>
            </w:r>
          </w:p>
        </w:tc>
        <w:tc>
          <w:tcPr>
            <w:tcW w:w="336" w:type="pct"/>
            <w:vAlign w:val="center"/>
          </w:tcPr>
          <w:p w14:paraId="63DE9533"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10.13</w:t>
            </w:r>
          </w:p>
        </w:tc>
        <w:tc>
          <w:tcPr>
            <w:tcW w:w="269" w:type="pct"/>
            <w:vAlign w:val="center"/>
          </w:tcPr>
          <w:p w14:paraId="6D0EAFEC"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2.16</w:t>
            </w:r>
          </w:p>
        </w:tc>
        <w:tc>
          <w:tcPr>
            <w:tcW w:w="471" w:type="pct"/>
            <w:vAlign w:val="center"/>
            <w:hideMark/>
          </w:tcPr>
          <w:p w14:paraId="677FEE3D"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10.5</w:t>
            </w:r>
          </w:p>
        </w:tc>
        <w:tc>
          <w:tcPr>
            <w:tcW w:w="269" w:type="pct"/>
            <w:vAlign w:val="center"/>
            <w:hideMark/>
          </w:tcPr>
          <w:p w14:paraId="31E37D97"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8.5</w:t>
            </w:r>
          </w:p>
        </w:tc>
        <w:tc>
          <w:tcPr>
            <w:tcW w:w="239" w:type="pct"/>
            <w:vAlign w:val="center"/>
            <w:hideMark/>
          </w:tcPr>
          <w:p w14:paraId="7F55E51D"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12.0</w:t>
            </w:r>
          </w:p>
        </w:tc>
        <w:tc>
          <w:tcPr>
            <w:tcW w:w="231" w:type="pct"/>
            <w:vAlign w:val="center"/>
          </w:tcPr>
          <w:p w14:paraId="1D4392E2"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5.5</w:t>
            </w:r>
          </w:p>
        </w:tc>
        <w:tc>
          <w:tcPr>
            <w:tcW w:w="204" w:type="pct"/>
            <w:vAlign w:val="center"/>
          </w:tcPr>
          <w:p w14:paraId="446699A1"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13.0</w:t>
            </w:r>
          </w:p>
        </w:tc>
        <w:tc>
          <w:tcPr>
            <w:tcW w:w="342" w:type="pct"/>
            <w:vAlign w:val="center"/>
          </w:tcPr>
          <w:p w14:paraId="2F2091CD"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12.07</w:t>
            </w:r>
          </w:p>
        </w:tc>
        <w:tc>
          <w:tcPr>
            <w:tcW w:w="263" w:type="pct"/>
            <w:vAlign w:val="center"/>
          </w:tcPr>
          <w:p w14:paraId="0F8636EC"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1.68</w:t>
            </w:r>
          </w:p>
        </w:tc>
        <w:tc>
          <w:tcPr>
            <w:tcW w:w="435" w:type="pct"/>
            <w:vAlign w:val="center"/>
            <w:hideMark/>
          </w:tcPr>
          <w:p w14:paraId="2AF5C038"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12.8</w:t>
            </w:r>
          </w:p>
        </w:tc>
        <w:tc>
          <w:tcPr>
            <w:tcW w:w="262" w:type="pct"/>
            <w:vAlign w:val="center"/>
            <w:hideMark/>
          </w:tcPr>
          <w:p w14:paraId="30DBFEEF"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11.6</w:t>
            </w:r>
          </w:p>
        </w:tc>
        <w:tc>
          <w:tcPr>
            <w:tcW w:w="264" w:type="pct"/>
            <w:vAlign w:val="center"/>
            <w:hideMark/>
          </w:tcPr>
          <w:p w14:paraId="02CFE175"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13.1</w:t>
            </w:r>
          </w:p>
        </w:tc>
        <w:tc>
          <w:tcPr>
            <w:tcW w:w="262" w:type="pct"/>
            <w:vAlign w:val="center"/>
          </w:tcPr>
          <w:p w14:paraId="7C08F5AE"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7.5</w:t>
            </w:r>
          </w:p>
        </w:tc>
        <w:tc>
          <w:tcPr>
            <w:tcW w:w="249" w:type="pct"/>
            <w:vAlign w:val="center"/>
          </w:tcPr>
          <w:p w14:paraId="7EC60C8B"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13.5</w:t>
            </w:r>
          </w:p>
        </w:tc>
        <w:tc>
          <w:tcPr>
            <w:tcW w:w="366" w:type="pct"/>
            <w:vAlign w:val="center"/>
            <w:hideMark/>
          </w:tcPr>
          <w:p w14:paraId="3216BFD3"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030">
              <w:rPr>
                <w:rFonts w:ascii="Times New Roman" w:eastAsia="Times New Roman" w:hAnsi="Times New Roman" w:cs="Times New Roman"/>
                <w:b/>
                <w:bCs/>
                <w:sz w:val="20"/>
                <w:szCs w:val="20"/>
              </w:rPr>
              <w:t>&lt;0.001**</w:t>
            </w:r>
          </w:p>
        </w:tc>
      </w:tr>
      <w:tr w:rsidR="00EF3D21" w:rsidRPr="00C36030" w14:paraId="6346369B" w14:textId="77777777" w:rsidTr="008A6667">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38" w:type="pct"/>
            <w:vAlign w:val="center"/>
            <w:hideMark/>
          </w:tcPr>
          <w:p w14:paraId="0D9B73F6" w14:textId="77777777" w:rsidR="00EF3D21" w:rsidRDefault="00C36030" w:rsidP="000C6CB0">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Post</w:t>
            </w:r>
          </w:p>
          <w:p w14:paraId="32A031D6" w14:textId="1022441B" w:rsidR="00C36030" w:rsidRPr="00C36030" w:rsidRDefault="00C36030" w:rsidP="00EF3D21">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w:t>
            </w:r>
            <w:proofErr w:type="spellStart"/>
            <w:r w:rsidRPr="00C36030">
              <w:rPr>
                <w:rFonts w:ascii="Times New Roman" w:hAnsi="Times New Roman" w:cs="Times New Roman"/>
                <w:sz w:val="20"/>
                <w:szCs w:val="20"/>
              </w:rPr>
              <w:t>hs-cTnt</w:t>
            </w:r>
            <w:proofErr w:type="spellEnd"/>
            <w:r w:rsidRPr="00C36030">
              <w:rPr>
                <w:rFonts w:ascii="Times New Roman" w:hAnsi="Times New Roman" w:cs="Times New Roman"/>
                <w:sz w:val="20"/>
                <w:szCs w:val="20"/>
              </w:rPr>
              <w:t>)</w:t>
            </w:r>
          </w:p>
        </w:tc>
        <w:tc>
          <w:tcPr>
            <w:tcW w:w="336" w:type="pct"/>
            <w:vAlign w:val="center"/>
          </w:tcPr>
          <w:p w14:paraId="46A4AFD1"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10.69</w:t>
            </w:r>
          </w:p>
        </w:tc>
        <w:tc>
          <w:tcPr>
            <w:tcW w:w="269" w:type="pct"/>
            <w:vAlign w:val="center"/>
          </w:tcPr>
          <w:p w14:paraId="36F9ACEF"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2.23</w:t>
            </w:r>
          </w:p>
        </w:tc>
        <w:tc>
          <w:tcPr>
            <w:tcW w:w="471" w:type="pct"/>
            <w:vAlign w:val="center"/>
            <w:hideMark/>
          </w:tcPr>
          <w:p w14:paraId="236C15A8"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11.2</w:t>
            </w:r>
          </w:p>
        </w:tc>
        <w:tc>
          <w:tcPr>
            <w:tcW w:w="269" w:type="pct"/>
            <w:vAlign w:val="center"/>
            <w:hideMark/>
          </w:tcPr>
          <w:p w14:paraId="048796CA"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8.9</w:t>
            </w:r>
          </w:p>
        </w:tc>
        <w:tc>
          <w:tcPr>
            <w:tcW w:w="239" w:type="pct"/>
            <w:vAlign w:val="center"/>
            <w:hideMark/>
          </w:tcPr>
          <w:p w14:paraId="60B0852B"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12.5</w:t>
            </w:r>
          </w:p>
        </w:tc>
        <w:tc>
          <w:tcPr>
            <w:tcW w:w="231" w:type="pct"/>
            <w:vAlign w:val="center"/>
          </w:tcPr>
          <w:p w14:paraId="6EF1AEE4"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5.9</w:t>
            </w:r>
          </w:p>
        </w:tc>
        <w:tc>
          <w:tcPr>
            <w:tcW w:w="204" w:type="pct"/>
            <w:vAlign w:val="center"/>
          </w:tcPr>
          <w:p w14:paraId="48CF4CBA"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13.5</w:t>
            </w:r>
          </w:p>
        </w:tc>
        <w:tc>
          <w:tcPr>
            <w:tcW w:w="342" w:type="pct"/>
            <w:vAlign w:val="center"/>
          </w:tcPr>
          <w:p w14:paraId="53BF44A0"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12.54</w:t>
            </w:r>
          </w:p>
        </w:tc>
        <w:tc>
          <w:tcPr>
            <w:tcW w:w="263" w:type="pct"/>
            <w:vAlign w:val="center"/>
          </w:tcPr>
          <w:p w14:paraId="6BB88BC8"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1.76</w:t>
            </w:r>
          </w:p>
        </w:tc>
        <w:tc>
          <w:tcPr>
            <w:tcW w:w="435" w:type="pct"/>
            <w:vAlign w:val="center"/>
            <w:hideMark/>
          </w:tcPr>
          <w:p w14:paraId="21D779CF"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13.3</w:t>
            </w:r>
          </w:p>
        </w:tc>
        <w:tc>
          <w:tcPr>
            <w:tcW w:w="262" w:type="pct"/>
            <w:vAlign w:val="center"/>
            <w:hideMark/>
          </w:tcPr>
          <w:p w14:paraId="6268C14E"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12.2</w:t>
            </w:r>
          </w:p>
        </w:tc>
        <w:tc>
          <w:tcPr>
            <w:tcW w:w="264" w:type="pct"/>
            <w:vAlign w:val="center"/>
            <w:hideMark/>
          </w:tcPr>
          <w:p w14:paraId="67CCB5A2"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13.5</w:t>
            </w:r>
          </w:p>
        </w:tc>
        <w:tc>
          <w:tcPr>
            <w:tcW w:w="262" w:type="pct"/>
            <w:vAlign w:val="center"/>
          </w:tcPr>
          <w:p w14:paraId="33610210"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7.8</w:t>
            </w:r>
          </w:p>
        </w:tc>
        <w:tc>
          <w:tcPr>
            <w:tcW w:w="249" w:type="pct"/>
            <w:vAlign w:val="center"/>
          </w:tcPr>
          <w:p w14:paraId="2B98DD1B"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14.5</w:t>
            </w:r>
          </w:p>
        </w:tc>
        <w:tc>
          <w:tcPr>
            <w:tcW w:w="366" w:type="pct"/>
            <w:vAlign w:val="center"/>
            <w:hideMark/>
          </w:tcPr>
          <w:p w14:paraId="690E43A6"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C36030">
              <w:rPr>
                <w:rFonts w:ascii="Times New Roman" w:eastAsia="Times New Roman" w:hAnsi="Times New Roman" w:cs="Times New Roman"/>
                <w:b/>
                <w:bCs/>
                <w:sz w:val="20"/>
                <w:szCs w:val="20"/>
              </w:rPr>
              <w:t>&lt;0.001**</w:t>
            </w:r>
          </w:p>
        </w:tc>
      </w:tr>
      <w:tr w:rsidR="00EF3D21" w:rsidRPr="00C36030" w14:paraId="55110716" w14:textId="77777777" w:rsidTr="008A6667">
        <w:trPr>
          <w:trHeight w:val="17"/>
        </w:trPr>
        <w:tc>
          <w:tcPr>
            <w:cnfStyle w:val="001000000000" w:firstRow="0" w:lastRow="0" w:firstColumn="1" w:lastColumn="0" w:oddVBand="0" w:evenVBand="0" w:oddHBand="0" w:evenHBand="0" w:firstRowFirstColumn="0" w:firstRowLastColumn="0" w:lastRowFirstColumn="0" w:lastRowLastColumn="0"/>
            <w:tcW w:w="538" w:type="pct"/>
            <w:vAlign w:val="center"/>
            <w:hideMark/>
          </w:tcPr>
          <w:p w14:paraId="19EFAF35" w14:textId="77777777" w:rsidR="00EF3D21" w:rsidRDefault="00C36030" w:rsidP="000C6CB0">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Pre</w:t>
            </w:r>
          </w:p>
          <w:p w14:paraId="17A9C974" w14:textId="1FBC6808" w:rsidR="00C36030" w:rsidRPr="00C36030" w:rsidRDefault="00C36030" w:rsidP="00EF3D21">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w:t>
            </w:r>
            <w:proofErr w:type="spellStart"/>
            <w:r w:rsidRPr="00C36030">
              <w:rPr>
                <w:rFonts w:ascii="Times New Roman" w:hAnsi="Times New Roman" w:cs="Times New Roman"/>
                <w:sz w:val="20"/>
                <w:szCs w:val="20"/>
              </w:rPr>
              <w:t>hs-cTnI</w:t>
            </w:r>
            <w:proofErr w:type="spellEnd"/>
            <w:r w:rsidRPr="00C36030">
              <w:rPr>
                <w:rFonts w:ascii="Times New Roman" w:hAnsi="Times New Roman" w:cs="Times New Roman"/>
                <w:sz w:val="20"/>
                <w:szCs w:val="20"/>
              </w:rPr>
              <w:t>)</w:t>
            </w:r>
          </w:p>
        </w:tc>
        <w:tc>
          <w:tcPr>
            <w:tcW w:w="336" w:type="pct"/>
            <w:vAlign w:val="center"/>
          </w:tcPr>
          <w:p w14:paraId="67A22541"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7.12</w:t>
            </w:r>
          </w:p>
        </w:tc>
        <w:tc>
          <w:tcPr>
            <w:tcW w:w="269" w:type="pct"/>
            <w:vAlign w:val="center"/>
          </w:tcPr>
          <w:p w14:paraId="527C1EB5"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1.81</w:t>
            </w:r>
          </w:p>
        </w:tc>
        <w:tc>
          <w:tcPr>
            <w:tcW w:w="471" w:type="pct"/>
            <w:vAlign w:val="center"/>
            <w:hideMark/>
          </w:tcPr>
          <w:p w14:paraId="7EB2D566"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6.5</w:t>
            </w:r>
          </w:p>
        </w:tc>
        <w:tc>
          <w:tcPr>
            <w:tcW w:w="269" w:type="pct"/>
            <w:vAlign w:val="center"/>
            <w:hideMark/>
          </w:tcPr>
          <w:p w14:paraId="2DB1AD7B"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5.5</w:t>
            </w:r>
          </w:p>
        </w:tc>
        <w:tc>
          <w:tcPr>
            <w:tcW w:w="239" w:type="pct"/>
            <w:vAlign w:val="center"/>
            <w:hideMark/>
          </w:tcPr>
          <w:p w14:paraId="1459123E"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8.9</w:t>
            </w:r>
          </w:p>
        </w:tc>
        <w:tc>
          <w:tcPr>
            <w:tcW w:w="231" w:type="pct"/>
            <w:vAlign w:val="center"/>
          </w:tcPr>
          <w:p w14:paraId="381D7DBC"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4.0</w:t>
            </w:r>
          </w:p>
        </w:tc>
        <w:tc>
          <w:tcPr>
            <w:tcW w:w="204" w:type="pct"/>
            <w:vAlign w:val="center"/>
          </w:tcPr>
          <w:p w14:paraId="5E6D6B63"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11.5</w:t>
            </w:r>
          </w:p>
        </w:tc>
        <w:tc>
          <w:tcPr>
            <w:tcW w:w="342" w:type="pct"/>
            <w:vAlign w:val="center"/>
          </w:tcPr>
          <w:p w14:paraId="26BDA9DB"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9.45</w:t>
            </w:r>
          </w:p>
        </w:tc>
        <w:tc>
          <w:tcPr>
            <w:tcW w:w="263" w:type="pct"/>
            <w:vAlign w:val="center"/>
          </w:tcPr>
          <w:p w14:paraId="5529F7D2"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2.17</w:t>
            </w:r>
          </w:p>
        </w:tc>
        <w:tc>
          <w:tcPr>
            <w:tcW w:w="435" w:type="pct"/>
            <w:vAlign w:val="center"/>
            <w:hideMark/>
          </w:tcPr>
          <w:p w14:paraId="46151525"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10.0</w:t>
            </w:r>
          </w:p>
        </w:tc>
        <w:tc>
          <w:tcPr>
            <w:tcW w:w="262" w:type="pct"/>
            <w:vAlign w:val="center"/>
            <w:hideMark/>
          </w:tcPr>
          <w:p w14:paraId="31D90ED3"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8.4</w:t>
            </w:r>
          </w:p>
        </w:tc>
        <w:tc>
          <w:tcPr>
            <w:tcW w:w="264" w:type="pct"/>
            <w:vAlign w:val="center"/>
            <w:hideMark/>
          </w:tcPr>
          <w:p w14:paraId="6F1A7B15"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11.0</w:t>
            </w:r>
          </w:p>
        </w:tc>
        <w:tc>
          <w:tcPr>
            <w:tcW w:w="262" w:type="pct"/>
            <w:vAlign w:val="center"/>
          </w:tcPr>
          <w:p w14:paraId="65F0CAF0"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4.5</w:t>
            </w:r>
          </w:p>
        </w:tc>
        <w:tc>
          <w:tcPr>
            <w:tcW w:w="249" w:type="pct"/>
            <w:vAlign w:val="center"/>
          </w:tcPr>
          <w:p w14:paraId="61A65232"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12.1</w:t>
            </w:r>
          </w:p>
        </w:tc>
        <w:tc>
          <w:tcPr>
            <w:tcW w:w="366" w:type="pct"/>
            <w:vAlign w:val="center"/>
            <w:hideMark/>
          </w:tcPr>
          <w:p w14:paraId="1CA3DAE3"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030">
              <w:rPr>
                <w:rFonts w:ascii="Times New Roman" w:eastAsia="Times New Roman" w:hAnsi="Times New Roman" w:cs="Times New Roman"/>
                <w:b/>
                <w:bCs/>
                <w:sz w:val="20"/>
                <w:szCs w:val="20"/>
              </w:rPr>
              <w:t>&lt;0.001**</w:t>
            </w:r>
          </w:p>
        </w:tc>
      </w:tr>
      <w:tr w:rsidR="00EF3D21" w:rsidRPr="00C36030" w14:paraId="68FECD99" w14:textId="77777777" w:rsidTr="008A6667">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38" w:type="pct"/>
            <w:vAlign w:val="center"/>
            <w:hideMark/>
          </w:tcPr>
          <w:p w14:paraId="0E16279A" w14:textId="77777777" w:rsidR="00EF3D21" w:rsidRDefault="00C36030" w:rsidP="000C6CB0">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Post</w:t>
            </w:r>
          </w:p>
          <w:p w14:paraId="0949C1EB" w14:textId="6CB8F183" w:rsidR="00C36030" w:rsidRPr="00C36030" w:rsidRDefault="00C36030" w:rsidP="00EF3D21">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w:t>
            </w:r>
            <w:proofErr w:type="spellStart"/>
            <w:r w:rsidRPr="00C36030">
              <w:rPr>
                <w:rFonts w:ascii="Times New Roman" w:hAnsi="Times New Roman" w:cs="Times New Roman"/>
                <w:sz w:val="20"/>
                <w:szCs w:val="20"/>
              </w:rPr>
              <w:t>hs-cTnI</w:t>
            </w:r>
            <w:proofErr w:type="spellEnd"/>
            <w:r w:rsidRPr="00C36030">
              <w:rPr>
                <w:rFonts w:ascii="Times New Roman" w:hAnsi="Times New Roman" w:cs="Times New Roman"/>
                <w:sz w:val="20"/>
                <w:szCs w:val="20"/>
              </w:rPr>
              <w:t>)</w:t>
            </w:r>
          </w:p>
        </w:tc>
        <w:tc>
          <w:tcPr>
            <w:tcW w:w="336" w:type="pct"/>
            <w:vAlign w:val="center"/>
          </w:tcPr>
          <w:p w14:paraId="6DA10F90"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7.00</w:t>
            </w:r>
          </w:p>
        </w:tc>
        <w:tc>
          <w:tcPr>
            <w:tcW w:w="269" w:type="pct"/>
            <w:vAlign w:val="center"/>
          </w:tcPr>
          <w:p w14:paraId="56DEF42F"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1.81</w:t>
            </w:r>
          </w:p>
        </w:tc>
        <w:tc>
          <w:tcPr>
            <w:tcW w:w="471" w:type="pct"/>
            <w:vAlign w:val="center"/>
            <w:hideMark/>
          </w:tcPr>
          <w:p w14:paraId="424A8611"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6.5</w:t>
            </w:r>
          </w:p>
        </w:tc>
        <w:tc>
          <w:tcPr>
            <w:tcW w:w="269" w:type="pct"/>
            <w:vAlign w:val="center"/>
            <w:hideMark/>
          </w:tcPr>
          <w:p w14:paraId="40060F98"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5.5</w:t>
            </w:r>
          </w:p>
        </w:tc>
        <w:tc>
          <w:tcPr>
            <w:tcW w:w="239" w:type="pct"/>
            <w:vAlign w:val="center"/>
            <w:hideMark/>
          </w:tcPr>
          <w:p w14:paraId="439116C1"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8.9</w:t>
            </w:r>
          </w:p>
        </w:tc>
        <w:tc>
          <w:tcPr>
            <w:tcW w:w="231" w:type="pct"/>
            <w:vAlign w:val="center"/>
          </w:tcPr>
          <w:p w14:paraId="3022D077"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4.1</w:t>
            </w:r>
          </w:p>
        </w:tc>
        <w:tc>
          <w:tcPr>
            <w:tcW w:w="204" w:type="pct"/>
            <w:vAlign w:val="center"/>
          </w:tcPr>
          <w:p w14:paraId="42A443B7"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11.1</w:t>
            </w:r>
          </w:p>
        </w:tc>
        <w:tc>
          <w:tcPr>
            <w:tcW w:w="342" w:type="pct"/>
            <w:vAlign w:val="center"/>
          </w:tcPr>
          <w:p w14:paraId="32C69F32"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9.36</w:t>
            </w:r>
          </w:p>
        </w:tc>
        <w:tc>
          <w:tcPr>
            <w:tcW w:w="263" w:type="pct"/>
            <w:vAlign w:val="center"/>
          </w:tcPr>
          <w:p w14:paraId="08D6013B"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2.24</w:t>
            </w:r>
          </w:p>
        </w:tc>
        <w:tc>
          <w:tcPr>
            <w:tcW w:w="435" w:type="pct"/>
            <w:vAlign w:val="center"/>
            <w:hideMark/>
          </w:tcPr>
          <w:p w14:paraId="14F9F387"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10.0</w:t>
            </w:r>
          </w:p>
        </w:tc>
        <w:tc>
          <w:tcPr>
            <w:tcW w:w="262" w:type="pct"/>
            <w:vAlign w:val="center"/>
            <w:hideMark/>
          </w:tcPr>
          <w:p w14:paraId="54003345"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8.4</w:t>
            </w:r>
          </w:p>
        </w:tc>
        <w:tc>
          <w:tcPr>
            <w:tcW w:w="264" w:type="pct"/>
            <w:vAlign w:val="center"/>
            <w:hideMark/>
          </w:tcPr>
          <w:p w14:paraId="26BBC4DF"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11.0</w:t>
            </w:r>
          </w:p>
        </w:tc>
        <w:tc>
          <w:tcPr>
            <w:tcW w:w="262" w:type="pct"/>
            <w:vAlign w:val="center"/>
          </w:tcPr>
          <w:p w14:paraId="0C7C5A95"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4.2</w:t>
            </w:r>
          </w:p>
        </w:tc>
        <w:tc>
          <w:tcPr>
            <w:tcW w:w="249" w:type="pct"/>
            <w:vAlign w:val="center"/>
          </w:tcPr>
          <w:p w14:paraId="19ABC91E"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12.0</w:t>
            </w:r>
          </w:p>
        </w:tc>
        <w:tc>
          <w:tcPr>
            <w:tcW w:w="366" w:type="pct"/>
            <w:vAlign w:val="center"/>
            <w:hideMark/>
          </w:tcPr>
          <w:p w14:paraId="724555F0"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C36030">
              <w:rPr>
                <w:rFonts w:ascii="Times New Roman" w:eastAsia="Times New Roman" w:hAnsi="Times New Roman" w:cs="Times New Roman"/>
                <w:b/>
                <w:bCs/>
                <w:sz w:val="20"/>
                <w:szCs w:val="20"/>
              </w:rPr>
              <w:t>&lt;0.001**</w:t>
            </w:r>
          </w:p>
        </w:tc>
      </w:tr>
      <w:tr w:rsidR="00EF3D21" w:rsidRPr="00C36030" w14:paraId="76B2EB88" w14:textId="77777777" w:rsidTr="008A6667">
        <w:trPr>
          <w:trHeight w:val="17"/>
        </w:trPr>
        <w:tc>
          <w:tcPr>
            <w:cnfStyle w:val="001000000000" w:firstRow="0" w:lastRow="0" w:firstColumn="1" w:lastColumn="0" w:oddVBand="0" w:evenVBand="0" w:oddHBand="0" w:evenHBand="0" w:firstRowFirstColumn="0" w:firstRowLastColumn="0" w:lastRowFirstColumn="0" w:lastRowLastColumn="0"/>
            <w:tcW w:w="538" w:type="pct"/>
            <w:vAlign w:val="center"/>
            <w:hideMark/>
          </w:tcPr>
          <w:p w14:paraId="4BDB53A1" w14:textId="77777777" w:rsidR="00EF3D21" w:rsidRDefault="00C36030" w:rsidP="000C6CB0">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 xml:space="preserve">Pre </w:t>
            </w:r>
          </w:p>
          <w:p w14:paraId="122258B3" w14:textId="02F9FFEA" w:rsidR="00C36030" w:rsidRPr="00C36030" w:rsidRDefault="00C36030" w:rsidP="00EF3D21">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(CK-MB)</w:t>
            </w:r>
          </w:p>
        </w:tc>
        <w:tc>
          <w:tcPr>
            <w:tcW w:w="336" w:type="pct"/>
            <w:vAlign w:val="center"/>
          </w:tcPr>
          <w:p w14:paraId="4AB19701"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18.65</w:t>
            </w:r>
          </w:p>
        </w:tc>
        <w:tc>
          <w:tcPr>
            <w:tcW w:w="269" w:type="pct"/>
            <w:vAlign w:val="center"/>
          </w:tcPr>
          <w:p w14:paraId="19FAE240"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3.56</w:t>
            </w:r>
          </w:p>
        </w:tc>
        <w:tc>
          <w:tcPr>
            <w:tcW w:w="471" w:type="pct"/>
            <w:vAlign w:val="center"/>
            <w:hideMark/>
          </w:tcPr>
          <w:p w14:paraId="48C65F68"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20.0</w:t>
            </w:r>
          </w:p>
        </w:tc>
        <w:tc>
          <w:tcPr>
            <w:tcW w:w="269" w:type="pct"/>
            <w:vAlign w:val="center"/>
            <w:hideMark/>
          </w:tcPr>
          <w:p w14:paraId="7D46EE6C"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15.4</w:t>
            </w:r>
          </w:p>
        </w:tc>
        <w:tc>
          <w:tcPr>
            <w:tcW w:w="239" w:type="pct"/>
            <w:vAlign w:val="center"/>
            <w:hideMark/>
          </w:tcPr>
          <w:p w14:paraId="253596AE"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22.0</w:t>
            </w:r>
          </w:p>
        </w:tc>
        <w:tc>
          <w:tcPr>
            <w:tcW w:w="231" w:type="pct"/>
            <w:vAlign w:val="center"/>
          </w:tcPr>
          <w:p w14:paraId="13E244FD"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12.0</w:t>
            </w:r>
          </w:p>
        </w:tc>
        <w:tc>
          <w:tcPr>
            <w:tcW w:w="204" w:type="pct"/>
            <w:vAlign w:val="center"/>
          </w:tcPr>
          <w:p w14:paraId="6A7D6517"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23.5</w:t>
            </w:r>
          </w:p>
        </w:tc>
        <w:tc>
          <w:tcPr>
            <w:tcW w:w="342" w:type="pct"/>
            <w:vAlign w:val="center"/>
          </w:tcPr>
          <w:p w14:paraId="679C129F"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21.33</w:t>
            </w:r>
          </w:p>
        </w:tc>
        <w:tc>
          <w:tcPr>
            <w:tcW w:w="263" w:type="pct"/>
            <w:vAlign w:val="center"/>
          </w:tcPr>
          <w:p w14:paraId="698353D9"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4.06</w:t>
            </w:r>
          </w:p>
        </w:tc>
        <w:tc>
          <w:tcPr>
            <w:tcW w:w="435" w:type="pct"/>
            <w:vAlign w:val="center"/>
            <w:hideMark/>
          </w:tcPr>
          <w:p w14:paraId="6E348FDC"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22.2</w:t>
            </w:r>
          </w:p>
        </w:tc>
        <w:tc>
          <w:tcPr>
            <w:tcW w:w="262" w:type="pct"/>
            <w:vAlign w:val="center"/>
            <w:hideMark/>
          </w:tcPr>
          <w:p w14:paraId="717FD791"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20.7</w:t>
            </w:r>
          </w:p>
        </w:tc>
        <w:tc>
          <w:tcPr>
            <w:tcW w:w="264" w:type="pct"/>
            <w:vAlign w:val="center"/>
            <w:hideMark/>
          </w:tcPr>
          <w:p w14:paraId="507DBE33"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24.5</w:t>
            </w:r>
          </w:p>
        </w:tc>
        <w:tc>
          <w:tcPr>
            <w:tcW w:w="262" w:type="pct"/>
            <w:vAlign w:val="center"/>
          </w:tcPr>
          <w:p w14:paraId="02F6935B"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13.5</w:t>
            </w:r>
          </w:p>
        </w:tc>
        <w:tc>
          <w:tcPr>
            <w:tcW w:w="249" w:type="pct"/>
            <w:vAlign w:val="center"/>
          </w:tcPr>
          <w:p w14:paraId="487FC1F4"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25.0</w:t>
            </w:r>
          </w:p>
        </w:tc>
        <w:tc>
          <w:tcPr>
            <w:tcW w:w="366" w:type="pct"/>
            <w:vAlign w:val="center"/>
            <w:hideMark/>
          </w:tcPr>
          <w:p w14:paraId="118000FF" w14:textId="77777777" w:rsidR="00C36030" w:rsidRPr="00C36030" w:rsidRDefault="00C36030" w:rsidP="000C6C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36030">
              <w:rPr>
                <w:rFonts w:ascii="Times New Roman" w:eastAsia="Times New Roman" w:hAnsi="Times New Roman" w:cs="Times New Roman"/>
                <w:b/>
                <w:bCs/>
                <w:sz w:val="20"/>
                <w:szCs w:val="20"/>
              </w:rPr>
              <w:t>&lt;0.001**</w:t>
            </w:r>
          </w:p>
        </w:tc>
      </w:tr>
      <w:tr w:rsidR="00EF3D21" w:rsidRPr="00C36030" w14:paraId="3825E43B" w14:textId="77777777" w:rsidTr="008A6667">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38" w:type="pct"/>
            <w:vAlign w:val="center"/>
            <w:hideMark/>
          </w:tcPr>
          <w:p w14:paraId="5B1FD336" w14:textId="77777777" w:rsidR="00EF3D21" w:rsidRDefault="00C36030" w:rsidP="000C6CB0">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 xml:space="preserve">Post </w:t>
            </w:r>
          </w:p>
          <w:p w14:paraId="4902C9C0" w14:textId="382413FE" w:rsidR="00C36030" w:rsidRPr="00C36030" w:rsidRDefault="00C36030" w:rsidP="00EF3D21">
            <w:pPr>
              <w:bidi/>
              <w:jc w:val="center"/>
              <w:rPr>
                <w:rFonts w:ascii="Times New Roman" w:hAnsi="Times New Roman" w:cs="Times New Roman"/>
                <w:b w:val="0"/>
                <w:bCs w:val="0"/>
                <w:sz w:val="20"/>
                <w:szCs w:val="20"/>
              </w:rPr>
            </w:pPr>
            <w:r w:rsidRPr="00C36030">
              <w:rPr>
                <w:rFonts w:ascii="Times New Roman" w:hAnsi="Times New Roman" w:cs="Times New Roman"/>
                <w:sz w:val="20"/>
                <w:szCs w:val="20"/>
              </w:rPr>
              <w:t>(CK-MB)</w:t>
            </w:r>
          </w:p>
        </w:tc>
        <w:tc>
          <w:tcPr>
            <w:tcW w:w="336" w:type="pct"/>
            <w:vAlign w:val="center"/>
          </w:tcPr>
          <w:p w14:paraId="0B02A2A5"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19.00</w:t>
            </w:r>
          </w:p>
        </w:tc>
        <w:tc>
          <w:tcPr>
            <w:tcW w:w="269" w:type="pct"/>
            <w:vAlign w:val="center"/>
          </w:tcPr>
          <w:p w14:paraId="7F2649E3"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3.60</w:t>
            </w:r>
          </w:p>
        </w:tc>
        <w:tc>
          <w:tcPr>
            <w:tcW w:w="471" w:type="pct"/>
            <w:vAlign w:val="center"/>
            <w:hideMark/>
          </w:tcPr>
          <w:p w14:paraId="7AED8146"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20.3</w:t>
            </w:r>
          </w:p>
        </w:tc>
        <w:tc>
          <w:tcPr>
            <w:tcW w:w="269" w:type="pct"/>
            <w:vAlign w:val="center"/>
            <w:hideMark/>
          </w:tcPr>
          <w:p w14:paraId="0485455B"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15.8</w:t>
            </w:r>
          </w:p>
        </w:tc>
        <w:tc>
          <w:tcPr>
            <w:tcW w:w="239" w:type="pct"/>
            <w:vAlign w:val="center"/>
            <w:hideMark/>
          </w:tcPr>
          <w:p w14:paraId="07C26F55"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22.3</w:t>
            </w:r>
          </w:p>
        </w:tc>
        <w:tc>
          <w:tcPr>
            <w:tcW w:w="231" w:type="pct"/>
            <w:vAlign w:val="center"/>
          </w:tcPr>
          <w:p w14:paraId="4935B6FE"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12.6</w:t>
            </w:r>
          </w:p>
        </w:tc>
        <w:tc>
          <w:tcPr>
            <w:tcW w:w="204" w:type="pct"/>
            <w:vAlign w:val="center"/>
          </w:tcPr>
          <w:p w14:paraId="2CBA0112"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23.9</w:t>
            </w:r>
          </w:p>
        </w:tc>
        <w:tc>
          <w:tcPr>
            <w:tcW w:w="342" w:type="pct"/>
            <w:vAlign w:val="center"/>
          </w:tcPr>
          <w:p w14:paraId="76C7DE5C"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21.77</w:t>
            </w:r>
          </w:p>
        </w:tc>
        <w:tc>
          <w:tcPr>
            <w:tcW w:w="263" w:type="pct"/>
            <w:vAlign w:val="center"/>
          </w:tcPr>
          <w:p w14:paraId="6CAA72EB"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4.10</w:t>
            </w:r>
          </w:p>
        </w:tc>
        <w:tc>
          <w:tcPr>
            <w:tcW w:w="435" w:type="pct"/>
            <w:vAlign w:val="center"/>
            <w:hideMark/>
          </w:tcPr>
          <w:p w14:paraId="6207992E"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22.5</w:t>
            </w:r>
          </w:p>
        </w:tc>
        <w:tc>
          <w:tcPr>
            <w:tcW w:w="262" w:type="pct"/>
            <w:vAlign w:val="center"/>
            <w:hideMark/>
          </w:tcPr>
          <w:p w14:paraId="588C64A2"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21.1</w:t>
            </w:r>
          </w:p>
        </w:tc>
        <w:tc>
          <w:tcPr>
            <w:tcW w:w="264" w:type="pct"/>
            <w:vAlign w:val="center"/>
            <w:hideMark/>
          </w:tcPr>
          <w:p w14:paraId="1CFD7C69"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25.0</w:t>
            </w:r>
          </w:p>
        </w:tc>
        <w:tc>
          <w:tcPr>
            <w:tcW w:w="262" w:type="pct"/>
            <w:vAlign w:val="center"/>
          </w:tcPr>
          <w:p w14:paraId="439A8EA7"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14.1</w:t>
            </w:r>
          </w:p>
        </w:tc>
        <w:tc>
          <w:tcPr>
            <w:tcW w:w="249" w:type="pct"/>
            <w:vAlign w:val="center"/>
          </w:tcPr>
          <w:p w14:paraId="1B5F7396"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6030">
              <w:rPr>
                <w:rFonts w:ascii="Times New Roman" w:hAnsi="Times New Roman" w:cs="Times New Roman"/>
                <w:sz w:val="20"/>
                <w:szCs w:val="20"/>
              </w:rPr>
              <w:t>25.9</w:t>
            </w:r>
          </w:p>
        </w:tc>
        <w:tc>
          <w:tcPr>
            <w:tcW w:w="366" w:type="pct"/>
            <w:vAlign w:val="center"/>
            <w:hideMark/>
          </w:tcPr>
          <w:p w14:paraId="768A7135" w14:textId="77777777" w:rsidR="00C36030" w:rsidRPr="00C36030" w:rsidRDefault="00C36030" w:rsidP="000C6C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C36030">
              <w:rPr>
                <w:rFonts w:ascii="Times New Roman" w:eastAsia="Times New Roman" w:hAnsi="Times New Roman" w:cs="Times New Roman"/>
                <w:b/>
                <w:bCs/>
                <w:sz w:val="20"/>
                <w:szCs w:val="20"/>
              </w:rPr>
              <w:t>&lt;0.001**</w:t>
            </w:r>
          </w:p>
        </w:tc>
      </w:tr>
    </w:tbl>
    <w:p w14:paraId="4200999E" w14:textId="6D2445B8" w:rsidR="008A6667" w:rsidRPr="004D0C5A" w:rsidRDefault="004D0C5A" w:rsidP="008A6667">
      <w:pPr>
        <w:spacing w:after="0" w:line="240" w:lineRule="auto"/>
        <w:ind w:right="-252"/>
        <w:rPr>
          <w:rFonts w:ascii="Times New Roman" w:eastAsia="Times New Roman" w:hAnsi="Times New Roman" w:cs="Times New Roman"/>
          <w:b/>
          <w:bCs/>
          <w:sz w:val="18"/>
          <w:szCs w:val="18"/>
        </w:rPr>
      </w:pPr>
      <w:r w:rsidRPr="004D0C5A">
        <w:rPr>
          <w:rFonts w:ascii="Times New Roman" w:eastAsia="Calibri" w:hAnsi="Times New Roman" w:cs="Times New Roman"/>
          <w:bCs/>
          <w:sz w:val="18"/>
          <w:szCs w:val="18"/>
          <w:lang w:bidi="ar-EG"/>
        </w:rPr>
        <w:t>Data presents as mean ± SD</w:t>
      </w:r>
      <w:r>
        <w:rPr>
          <w:rFonts w:ascii="Times New Roman" w:eastAsia="Calibri" w:hAnsi="Times New Roman" w:cs="Times New Roman"/>
          <w:bCs/>
          <w:sz w:val="18"/>
          <w:szCs w:val="18"/>
          <w:lang w:bidi="ar-EG"/>
        </w:rPr>
        <w:t xml:space="preserve">, </w:t>
      </w:r>
      <w:r w:rsidRPr="004D0C5A">
        <w:rPr>
          <w:rFonts w:ascii="Times New Roman" w:eastAsia="Calibri" w:hAnsi="Times New Roman" w:cs="Times New Roman"/>
          <w:bCs/>
          <w:sz w:val="18"/>
          <w:szCs w:val="18"/>
          <w:lang w:bidi="ar-EG"/>
        </w:rPr>
        <w:t>Median</w:t>
      </w:r>
      <w:r>
        <w:rPr>
          <w:rFonts w:ascii="Times New Roman" w:eastAsia="Calibri" w:hAnsi="Times New Roman" w:cs="Times New Roman"/>
          <w:bCs/>
          <w:sz w:val="18"/>
          <w:szCs w:val="18"/>
          <w:lang w:bidi="ar-EG"/>
        </w:rPr>
        <w:t xml:space="preserve">, </w:t>
      </w:r>
      <w:r w:rsidRPr="004D0C5A">
        <w:rPr>
          <w:rFonts w:ascii="Times New Roman" w:eastAsia="Calibri" w:hAnsi="Times New Roman" w:cs="Times New Roman"/>
          <w:bCs/>
          <w:sz w:val="18"/>
          <w:szCs w:val="18"/>
          <w:lang w:bidi="ar-EG"/>
        </w:rPr>
        <w:t>IQR</w:t>
      </w:r>
      <w:r>
        <w:rPr>
          <w:rFonts w:ascii="Times New Roman" w:eastAsia="Calibri" w:hAnsi="Times New Roman" w:cs="Times New Roman"/>
          <w:bCs/>
          <w:sz w:val="18"/>
          <w:szCs w:val="18"/>
          <w:lang w:bidi="ar-EG"/>
        </w:rPr>
        <w:t xml:space="preserve"> or </w:t>
      </w:r>
      <w:r w:rsidRPr="004D0C5A">
        <w:rPr>
          <w:rFonts w:ascii="Times New Roman" w:eastAsia="Calibri" w:hAnsi="Times New Roman" w:cs="Times New Roman"/>
          <w:bCs/>
          <w:sz w:val="18"/>
          <w:szCs w:val="18"/>
          <w:lang w:bidi="ar-EG"/>
        </w:rPr>
        <w:t>Range</w:t>
      </w:r>
      <w:r>
        <w:rPr>
          <w:rFonts w:ascii="Times New Roman" w:eastAsia="Calibri" w:hAnsi="Times New Roman" w:cs="Times New Roman"/>
          <w:bCs/>
          <w:sz w:val="18"/>
          <w:szCs w:val="18"/>
          <w:lang w:bidi="ar-EG"/>
        </w:rPr>
        <w:t xml:space="preserve">. </w:t>
      </w:r>
      <w:r w:rsidR="00AE4AD0" w:rsidRPr="004D0C5A">
        <w:rPr>
          <w:rFonts w:ascii="Times New Roman" w:eastAsia="Times New Roman" w:hAnsi="Times New Roman" w:cs="Times New Roman"/>
          <w:bCs/>
          <w:sz w:val="18"/>
          <w:szCs w:val="18"/>
        </w:rPr>
        <w:t xml:space="preserve">CK-MB: creatine kinase, </w:t>
      </w:r>
      <w:r w:rsidR="008A6667" w:rsidRPr="004D0C5A">
        <w:rPr>
          <w:rFonts w:ascii="Times New Roman" w:eastAsia="Times New Roman" w:hAnsi="Times New Roman" w:cs="Times New Roman"/>
          <w:bCs/>
          <w:sz w:val="18"/>
          <w:szCs w:val="18"/>
        </w:rPr>
        <w:t xml:space="preserve">*P value ˂0.05 is significant, **p˂0.01 is highly significant. </w:t>
      </w:r>
    </w:p>
    <w:p w14:paraId="3A97CEF9" w14:textId="77777777" w:rsidR="00FC039A" w:rsidRPr="00DF16A5" w:rsidRDefault="00FC039A">
      <w:pPr>
        <w:rPr>
          <w:rFonts w:ascii="Times New Roman" w:eastAsia="Calibri" w:hAnsi="Times New Roman" w:cs="Times New Roman"/>
          <w:sz w:val="24"/>
          <w:szCs w:val="24"/>
          <w:highlight w:val="yellow"/>
          <w:lang w:val="en-GB" w:bidi="ar-EG"/>
        </w:rPr>
      </w:pPr>
      <w:r w:rsidRPr="00DF16A5">
        <w:rPr>
          <w:rFonts w:ascii="Times New Roman" w:eastAsia="Calibri" w:hAnsi="Times New Roman" w:cs="Times New Roman"/>
          <w:sz w:val="24"/>
          <w:szCs w:val="24"/>
          <w:highlight w:val="yellow"/>
          <w:lang w:val="en-GB" w:bidi="ar-EG"/>
        </w:rPr>
        <w:br w:type="page"/>
      </w:r>
    </w:p>
    <w:p w14:paraId="2F5C055A" w14:textId="2439D9A4" w:rsidR="00C36030" w:rsidRDefault="00C36030" w:rsidP="00C36030">
      <w:pPr>
        <w:pStyle w:val="Caption"/>
        <w:spacing w:after="0"/>
      </w:pPr>
      <w:r>
        <w:lastRenderedPageBreak/>
        <w:t xml:space="preserve">Table </w:t>
      </w:r>
      <w:r>
        <w:fldChar w:fldCharType="begin"/>
      </w:r>
      <w:r>
        <w:instrText xml:space="preserve"> SEQ Table \* ARABIC </w:instrText>
      </w:r>
      <w:r>
        <w:fldChar w:fldCharType="separate"/>
      </w:r>
      <w:r w:rsidR="00583979">
        <w:rPr>
          <w:noProof/>
        </w:rPr>
        <w:t>5</w:t>
      </w:r>
      <w:r>
        <w:fldChar w:fldCharType="end"/>
      </w:r>
      <w:r>
        <w:t>:</w:t>
      </w:r>
      <w:r w:rsidRPr="00C36030">
        <w:t xml:space="preserve"> Diagnostic performance of </w:t>
      </w:r>
      <w:proofErr w:type="spellStart"/>
      <w:r w:rsidRPr="00C36030">
        <w:t>hs-cTnT</w:t>
      </w:r>
      <w:proofErr w:type="spellEnd"/>
      <w:r w:rsidRPr="00C36030">
        <w:t xml:space="preserve">, </w:t>
      </w:r>
      <w:proofErr w:type="spellStart"/>
      <w:r w:rsidRPr="00C36030">
        <w:t>hs-cTnI</w:t>
      </w:r>
      <w:proofErr w:type="spellEnd"/>
      <w:r w:rsidRPr="00C36030">
        <w:t xml:space="preserve"> and CK-MB in detection of myocardial injury</w:t>
      </w:r>
    </w:p>
    <w:tbl>
      <w:tblPr>
        <w:tblStyle w:val="GridTable6Colorful11"/>
        <w:tblW w:w="5000" w:type="pct"/>
        <w:tblLook w:val="04A0" w:firstRow="1" w:lastRow="0" w:firstColumn="1" w:lastColumn="0" w:noHBand="0" w:noVBand="1"/>
      </w:tblPr>
      <w:tblGrid>
        <w:gridCol w:w="1511"/>
        <w:gridCol w:w="1025"/>
        <w:gridCol w:w="713"/>
        <w:gridCol w:w="1232"/>
        <w:gridCol w:w="1298"/>
        <w:gridCol w:w="953"/>
        <w:gridCol w:w="866"/>
        <w:gridCol w:w="1032"/>
      </w:tblGrid>
      <w:tr w:rsidR="00C36030" w:rsidRPr="00C36030" w14:paraId="663A0E57" w14:textId="77777777" w:rsidTr="00EF3D2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5" w:type="pct"/>
            <w:vAlign w:val="center"/>
          </w:tcPr>
          <w:p w14:paraId="75D2F6A4" w14:textId="77777777" w:rsidR="00C36030" w:rsidRPr="00C36030" w:rsidRDefault="00C36030" w:rsidP="00C36030">
            <w:pPr>
              <w:jc w:val="center"/>
              <w:rPr>
                <w:rFonts w:ascii="Times New Roman" w:hAnsi="Times New Roman" w:cs="Times New Roman"/>
                <w:b w:val="0"/>
                <w:bCs w:val="0"/>
              </w:rPr>
            </w:pPr>
          </w:p>
        </w:tc>
        <w:tc>
          <w:tcPr>
            <w:tcW w:w="594" w:type="pct"/>
            <w:vAlign w:val="center"/>
            <w:hideMark/>
          </w:tcPr>
          <w:p w14:paraId="394CE21F"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Cut off</w:t>
            </w:r>
          </w:p>
        </w:tc>
        <w:tc>
          <w:tcPr>
            <w:tcW w:w="413" w:type="pct"/>
            <w:vAlign w:val="center"/>
            <w:hideMark/>
          </w:tcPr>
          <w:p w14:paraId="558B9282"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AUC</w:t>
            </w:r>
          </w:p>
        </w:tc>
        <w:tc>
          <w:tcPr>
            <w:tcW w:w="714" w:type="pct"/>
            <w:vAlign w:val="center"/>
            <w:hideMark/>
          </w:tcPr>
          <w:p w14:paraId="6680577F"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Sensitivity</w:t>
            </w:r>
          </w:p>
        </w:tc>
        <w:tc>
          <w:tcPr>
            <w:tcW w:w="752" w:type="pct"/>
            <w:vAlign w:val="center"/>
            <w:hideMark/>
          </w:tcPr>
          <w:p w14:paraId="64A98DE8"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Specificity</w:t>
            </w:r>
          </w:p>
        </w:tc>
        <w:tc>
          <w:tcPr>
            <w:tcW w:w="552" w:type="pct"/>
            <w:vAlign w:val="center"/>
            <w:hideMark/>
          </w:tcPr>
          <w:p w14:paraId="57B5F743"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PPV</w:t>
            </w:r>
          </w:p>
        </w:tc>
        <w:tc>
          <w:tcPr>
            <w:tcW w:w="502" w:type="pct"/>
            <w:vAlign w:val="center"/>
            <w:hideMark/>
          </w:tcPr>
          <w:p w14:paraId="7ADBBA73"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NPV</w:t>
            </w:r>
          </w:p>
        </w:tc>
        <w:tc>
          <w:tcPr>
            <w:tcW w:w="598" w:type="pct"/>
            <w:vAlign w:val="center"/>
            <w:hideMark/>
          </w:tcPr>
          <w:p w14:paraId="5A8CCA4F" w14:textId="77777777" w:rsidR="00C36030" w:rsidRPr="00C36030" w:rsidRDefault="00C36030" w:rsidP="00C360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36030">
              <w:rPr>
                <w:rFonts w:ascii="Times New Roman" w:hAnsi="Times New Roman" w:cs="Times New Roman"/>
              </w:rPr>
              <w:t>p-value</w:t>
            </w:r>
          </w:p>
        </w:tc>
      </w:tr>
      <w:tr w:rsidR="00C36030" w:rsidRPr="00C36030" w14:paraId="171B0154" w14:textId="77777777" w:rsidTr="00EF3D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5C45110C" w14:textId="77777777" w:rsidR="00C36030" w:rsidRPr="00C36030" w:rsidRDefault="00C36030" w:rsidP="00C36030">
            <w:pPr>
              <w:jc w:val="center"/>
              <w:rPr>
                <w:rFonts w:ascii="Times New Roman" w:hAnsi="Times New Roman" w:cs="Times New Roman"/>
                <w:b w:val="0"/>
                <w:bCs w:val="0"/>
              </w:rPr>
            </w:pPr>
            <w:proofErr w:type="spellStart"/>
            <w:r w:rsidRPr="00C36030">
              <w:rPr>
                <w:rFonts w:ascii="Times New Roman" w:hAnsi="Times New Roman" w:cs="Times New Roman"/>
              </w:rPr>
              <w:t>hs-cTnT</w:t>
            </w:r>
            <w:proofErr w:type="spellEnd"/>
          </w:p>
        </w:tc>
        <w:tc>
          <w:tcPr>
            <w:tcW w:w="594" w:type="pct"/>
            <w:vAlign w:val="center"/>
            <w:hideMark/>
          </w:tcPr>
          <w:p w14:paraId="60ABD359"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12</w:t>
            </w:r>
          </w:p>
        </w:tc>
        <w:tc>
          <w:tcPr>
            <w:tcW w:w="413" w:type="pct"/>
            <w:vAlign w:val="center"/>
            <w:hideMark/>
          </w:tcPr>
          <w:p w14:paraId="3AD7DCF1"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0.808</w:t>
            </w:r>
          </w:p>
        </w:tc>
        <w:tc>
          <w:tcPr>
            <w:tcW w:w="714" w:type="pct"/>
            <w:vAlign w:val="center"/>
            <w:hideMark/>
          </w:tcPr>
          <w:p w14:paraId="0643DAB4"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75%</w:t>
            </w:r>
          </w:p>
        </w:tc>
        <w:tc>
          <w:tcPr>
            <w:tcW w:w="752" w:type="pct"/>
            <w:vAlign w:val="center"/>
            <w:hideMark/>
          </w:tcPr>
          <w:p w14:paraId="7429D400"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81.6%</w:t>
            </w:r>
          </w:p>
        </w:tc>
        <w:tc>
          <w:tcPr>
            <w:tcW w:w="552" w:type="pct"/>
            <w:vAlign w:val="center"/>
            <w:hideMark/>
          </w:tcPr>
          <w:p w14:paraId="03B6EF14"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56.2 %</w:t>
            </w:r>
          </w:p>
        </w:tc>
        <w:tc>
          <w:tcPr>
            <w:tcW w:w="502" w:type="pct"/>
            <w:vAlign w:val="center"/>
            <w:hideMark/>
          </w:tcPr>
          <w:p w14:paraId="1BFE751C"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91.2%</w:t>
            </w:r>
          </w:p>
        </w:tc>
        <w:tc>
          <w:tcPr>
            <w:tcW w:w="598" w:type="pct"/>
            <w:vAlign w:val="center"/>
            <w:hideMark/>
          </w:tcPr>
          <w:p w14:paraId="0BDF7869" w14:textId="37CD0C5D"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36030">
              <w:rPr>
                <w:rFonts w:ascii="Times New Roman" w:hAnsi="Times New Roman" w:cs="Times New Roman"/>
                <w:b/>
                <w:bCs/>
              </w:rPr>
              <w:t>&lt;0.001</w:t>
            </w:r>
            <w:r w:rsidR="006E6DC0">
              <w:rPr>
                <w:rFonts w:ascii="Times New Roman" w:hAnsi="Times New Roman" w:cs="Times New Roman"/>
                <w:b/>
                <w:bCs/>
              </w:rPr>
              <w:t>*</w:t>
            </w:r>
          </w:p>
        </w:tc>
      </w:tr>
      <w:tr w:rsidR="00C36030" w:rsidRPr="00C36030" w14:paraId="7990C41C" w14:textId="77777777" w:rsidTr="00EF3D21">
        <w:trPr>
          <w:trHeight w:val="2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020EBB4D" w14:textId="77777777" w:rsidR="00C36030" w:rsidRPr="00C36030" w:rsidRDefault="00C36030" w:rsidP="00C36030">
            <w:pPr>
              <w:jc w:val="center"/>
              <w:rPr>
                <w:rFonts w:ascii="Times New Roman" w:hAnsi="Times New Roman" w:cs="Times New Roman"/>
                <w:b w:val="0"/>
                <w:bCs w:val="0"/>
              </w:rPr>
            </w:pPr>
            <w:proofErr w:type="spellStart"/>
            <w:r w:rsidRPr="00C36030">
              <w:rPr>
                <w:rFonts w:ascii="Times New Roman" w:hAnsi="Times New Roman" w:cs="Times New Roman"/>
              </w:rPr>
              <w:t>hs-cTnI</w:t>
            </w:r>
            <w:proofErr w:type="spellEnd"/>
          </w:p>
        </w:tc>
        <w:tc>
          <w:tcPr>
            <w:tcW w:w="594" w:type="pct"/>
            <w:vAlign w:val="center"/>
            <w:hideMark/>
          </w:tcPr>
          <w:p w14:paraId="0A342CE7" w14:textId="77777777"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8.9</w:t>
            </w:r>
          </w:p>
        </w:tc>
        <w:tc>
          <w:tcPr>
            <w:tcW w:w="413" w:type="pct"/>
            <w:vAlign w:val="center"/>
            <w:hideMark/>
          </w:tcPr>
          <w:p w14:paraId="0EAB48AE" w14:textId="77777777"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0.796</w:t>
            </w:r>
          </w:p>
        </w:tc>
        <w:tc>
          <w:tcPr>
            <w:tcW w:w="714" w:type="pct"/>
            <w:vAlign w:val="center"/>
            <w:hideMark/>
          </w:tcPr>
          <w:p w14:paraId="5C0FEC81" w14:textId="77777777"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75%</w:t>
            </w:r>
          </w:p>
        </w:tc>
        <w:tc>
          <w:tcPr>
            <w:tcW w:w="752" w:type="pct"/>
            <w:vAlign w:val="center"/>
            <w:hideMark/>
          </w:tcPr>
          <w:p w14:paraId="69F0EF62" w14:textId="77777777"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78.9%</w:t>
            </w:r>
          </w:p>
        </w:tc>
        <w:tc>
          <w:tcPr>
            <w:tcW w:w="552" w:type="pct"/>
            <w:vAlign w:val="center"/>
            <w:hideMark/>
          </w:tcPr>
          <w:p w14:paraId="5B1C74F1" w14:textId="77777777"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52.9%</w:t>
            </w:r>
          </w:p>
        </w:tc>
        <w:tc>
          <w:tcPr>
            <w:tcW w:w="502" w:type="pct"/>
            <w:vAlign w:val="center"/>
            <w:hideMark/>
          </w:tcPr>
          <w:p w14:paraId="6DBF226E" w14:textId="77777777"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90.9%</w:t>
            </w:r>
          </w:p>
        </w:tc>
        <w:tc>
          <w:tcPr>
            <w:tcW w:w="598" w:type="pct"/>
            <w:vAlign w:val="center"/>
            <w:hideMark/>
          </w:tcPr>
          <w:p w14:paraId="5898D0D8" w14:textId="4ED761BA" w:rsidR="00C36030" w:rsidRPr="00C36030" w:rsidRDefault="00C36030" w:rsidP="00C360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36030">
              <w:rPr>
                <w:rFonts w:ascii="Times New Roman" w:hAnsi="Times New Roman" w:cs="Times New Roman"/>
                <w:b/>
                <w:bCs/>
              </w:rPr>
              <w:t>&lt;0.001</w:t>
            </w:r>
            <w:r w:rsidR="006E6DC0">
              <w:rPr>
                <w:rFonts w:ascii="Times New Roman" w:hAnsi="Times New Roman" w:cs="Times New Roman"/>
                <w:b/>
                <w:bCs/>
              </w:rPr>
              <w:t>*</w:t>
            </w:r>
          </w:p>
        </w:tc>
      </w:tr>
      <w:tr w:rsidR="00C36030" w:rsidRPr="00C36030" w14:paraId="2C6EAA8D" w14:textId="77777777" w:rsidTr="00EF3D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41C0579D" w14:textId="77777777" w:rsidR="00C36030" w:rsidRPr="00C36030" w:rsidRDefault="00C36030" w:rsidP="00C36030">
            <w:pPr>
              <w:jc w:val="center"/>
              <w:rPr>
                <w:rFonts w:ascii="Times New Roman" w:hAnsi="Times New Roman" w:cs="Times New Roman"/>
                <w:b w:val="0"/>
                <w:bCs w:val="0"/>
              </w:rPr>
            </w:pPr>
            <w:r w:rsidRPr="00C36030">
              <w:rPr>
                <w:rFonts w:ascii="Times New Roman" w:hAnsi="Times New Roman" w:cs="Times New Roman"/>
              </w:rPr>
              <w:t>CK-MB</w:t>
            </w:r>
          </w:p>
        </w:tc>
        <w:tc>
          <w:tcPr>
            <w:tcW w:w="594" w:type="pct"/>
            <w:vAlign w:val="center"/>
            <w:hideMark/>
          </w:tcPr>
          <w:p w14:paraId="0AEDFC2D"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23.5</w:t>
            </w:r>
          </w:p>
        </w:tc>
        <w:tc>
          <w:tcPr>
            <w:tcW w:w="413" w:type="pct"/>
            <w:vAlign w:val="center"/>
            <w:hideMark/>
          </w:tcPr>
          <w:p w14:paraId="66F01187"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0.736</w:t>
            </w:r>
          </w:p>
        </w:tc>
        <w:tc>
          <w:tcPr>
            <w:tcW w:w="714" w:type="pct"/>
            <w:vAlign w:val="center"/>
            <w:hideMark/>
          </w:tcPr>
          <w:p w14:paraId="22DD5750"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41.7%</w:t>
            </w:r>
          </w:p>
        </w:tc>
        <w:tc>
          <w:tcPr>
            <w:tcW w:w="752" w:type="pct"/>
            <w:vAlign w:val="center"/>
            <w:hideMark/>
          </w:tcPr>
          <w:p w14:paraId="206B67CA"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100%</w:t>
            </w:r>
          </w:p>
        </w:tc>
        <w:tc>
          <w:tcPr>
            <w:tcW w:w="552" w:type="pct"/>
            <w:vAlign w:val="center"/>
            <w:hideMark/>
          </w:tcPr>
          <w:p w14:paraId="53796E0C"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100%</w:t>
            </w:r>
          </w:p>
        </w:tc>
        <w:tc>
          <w:tcPr>
            <w:tcW w:w="502" w:type="pct"/>
            <w:vAlign w:val="center"/>
            <w:hideMark/>
          </w:tcPr>
          <w:p w14:paraId="747FAF01" w14:textId="77777777"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6030">
              <w:rPr>
                <w:rFonts w:ascii="Times New Roman" w:hAnsi="Times New Roman" w:cs="Times New Roman"/>
              </w:rPr>
              <w:t>84.4%</w:t>
            </w:r>
          </w:p>
        </w:tc>
        <w:tc>
          <w:tcPr>
            <w:tcW w:w="598" w:type="pct"/>
            <w:vAlign w:val="center"/>
            <w:hideMark/>
          </w:tcPr>
          <w:p w14:paraId="6169A1BD" w14:textId="27825A85" w:rsidR="00C36030" w:rsidRPr="00C36030" w:rsidRDefault="00C36030" w:rsidP="00C360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36030">
              <w:rPr>
                <w:rFonts w:ascii="Times New Roman" w:hAnsi="Times New Roman" w:cs="Times New Roman"/>
                <w:b/>
                <w:bCs/>
              </w:rPr>
              <w:t>0.001</w:t>
            </w:r>
            <w:r w:rsidR="006E6DC0">
              <w:rPr>
                <w:rFonts w:ascii="Times New Roman" w:hAnsi="Times New Roman" w:cs="Times New Roman"/>
                <w:b/>
                <w:bCs/>
              </w:rPr>
              <w:t>*</w:t>
            </w:r>
          </w:p>
        </w:tc>
      </w:tr>
    </w:tbl>
    <w:p w14:paraId="4CFA99AD" w14:textId="47820631" w:rsidR="00C36030" w:rsidRPr="004D0C5A" w:rsidRDefault="004D0C5A" w:rsidP="00EF3D21">
      <w:pPr>
        <w:spacing w:line="256" w:lineRule="auto"/>
        <w:rPr>
          <w:rFonts w:asciiTheme="majorBidi" w:eastAsia="Calibri" w:hAnsiTheme="majorBidi" w:cstheme="majorBidi"/>
          <w:sz w:val="18"/>
          <w:szCs w:val="18"/>
        </w:rPr>
      </w:pPr>
      <w:r w:rsidRPr="004D0C5A">
        <w:rPr>
          <w:rFonts w:asciiTheme="majorBidi" w:eastAsia="Calibri" w:hAnsiTheme="majorBidi" w:cstheme="majorBidi"/>
          <w:bCs/>
          <w:sz w:val="18"/>
          <w:szCs w:val="18"/>
          <w:lang w:bidi="ar-EG"/>
        </w:rPr>
        <w:t xml:space="preserve">Data presents as numbers.  </w:t>
      </w:r>
      <w:r w:rsidR="00AE4AD0" w:rsidRPr="004D0C5A">
        <w:rPr>
          <w:rFonts w:asciiTheme="majorBidi" w:eastAsia="Calibri" w:hAnsiTheme="majorBidi" w:cstheme="majorBidi"/>
          <w:sz w:val="18"/>
          <w:szCs w:val="18"/>
        </w:rPr>
        <w:t xml:space="preserve">CK-MB: creatine kinase , </w:t>
      </w:r>
      <w:r w:rsidR="00EF3D21" w:rsidRPr="004D0C5A">
        <w:rPr>
          <w:rFonts w:asciiTheme="majorBidi" w:eastAsia="Calibri" w:hAnsiTheme="majorBidi" w:cstheme="majorBidi"/>
          <w:sz w:val="18"/>
          <w:szCs w:val="18"/>
        </w:rPr>
        <w:t>AUC: Area under curve, PPV: positive predictive value, NPV: negative predictive value.</w:t>
      </w:r>
      <w:r w:rsidRPr="004D0C5A">
        <w:rPr>
          <w:rFonts w:asciiTheme="majorBidi" w:hAnsiTheme="majorBidi" w:cstheme="majorBidi"/>
          <w:sz w:val="18"/>
          <w:szCs w:val="18"/>
        </w:rPr>
        <w:t xml:space="preserve"> </w:t>
      </w:r>
      <w:proofErr w:type="spellStart"/>
      <w:r w:rsidRPr="004D0C5A">
        <w:rPr>
          <w:rFonts w:asciiTheme="majorBidi" w:eastAsia="Calibri" w:hAnsiTheme="majorBidi" w:cstheme="majorBidi"/>
          <w:sz w:val="18"/>
          <w:szCs w:val="18"/>
        </w:rPr>
        <w:t>hs-cTnT</w:t>
      </w:r>
      <w:proofErr w:type="spellEnd"/>
      <w:r w:rsidRPr="004D0C5A">
        <w:rPr>
          <w:rFonts w:asciiTheme="majorBidi" w:eastAsia="Calibri" w:hAnsiTheme="majorBidi" w:cstheme="majorBidi"/>
          <w:sz w:val="18"/>
          <w:szCs w:val="18"/>
        </w:rPr>
        <w:t>: high-sensitivity cardiac troponin T.</w:t>
      </w:r>
      <w:r w:rsidRPr="004D0C5A">
        <w:rPr>
          <w:rFonts w:asciiTheme="majorBidi" w:hAnsiTheme="majorBidi" w:cstheme="majorBidi"/>
          <w:sz w:val="18"/>
          <w:szCs w:val="18"/>
        </w:rPr>
        <w:t xml:space="preserve"> </w:t>
      </w:r>
      <w:proofErr w:type="spellStart"/>
      <w:r w:rsidRPr="004D0C5A">
        <w:rPr>
          <w:rFonts w:asciiTheme="majorBidi" w:hAnsiTheme="majorBidi" w:cstheme="majorBidi"/>
          <w:sz w:val="18"/>
          <w:szCs w:val="18"/>
        </w:rPr>
        <w:t>hs-cTnI</w:t>
      </w:r>
      <w:proofErr w:type="spellEnd"/>
      <w:r w:rsidRPr="004D0C5A">
        <w:rPr>
          <w:rFonts w:asciiTheme="majorBidi" w:hAnsiTheme="majorBidi" w:cstheme="majorBidi"/>
          <w:sz w:val="18"/>
          <w:szCs w:val="18"/>
        </w:rPr>
        <w:t xml:space="preserve">: </w:t>
      </w:r>
      <w:r w:rsidRPr="004D0C5A">
        <w:rPr>
          <w:rFonts w:asciiTheme="majorBidi" w:eastAsia="Calibri" w:hAnsiTheme="majorBidi" w:cstheme="majorBidi"/>
          <w:sz w:val="18"/>
          <w:szCs w:val="18"/>
        </w:rPr>
        <w:t>high-sensitivity cardiac troponin I</w:t>
      </w:r>
      <w:r w:rsidR="005D23DC">
        <w:rPr>
          <w:rFonts w:asciiTheme="majorBidi" w:eastAsia="Calibri" w:hAnsiTheme="majorBidi" w:cstheme="majorBidi"/>
          <w:sz w:val="18"/>
          <w:szCs w:val="18"/>
        </w:rPr>
        <w:t>.</w:t>
      </w:r>
      <w:r w:rsidR="00FC039A" w:rsidRPr="004D0C5A">
        <w:rPr>
          <w:rFonts w:asciiTheme="majorBidi" w:eastAsia="Calibri" w:hAnsiTheme="majorBidi" w:cstheme="majorBidi"/>
          <w:b/>
          <w:bCs/>
          <w:sz w:val="18"/>
          <w:szCs w:val="18"/>
          <w:highlight w:val="yellow"/>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380"/>
      </w:tblGrid>
      <w:tr w:rsidR="00C36030" w:rsidRPr="00C36030" w14:paraId="6AAE9D24" w14:textId="77777777" w:rsidTr="00C36030">
        <w:trPr>
          <w:trHeight w:val="20"/>
          <w:jc w:val="center"/>
        </w:trPr>
        <w:tc>
          <w:tcPr>
            <w:tcW w:w="0" w:type="auto"/>
            <w:vAlign w:val="center"/>
          </w:tcPr>
          <w:p w14:paraId="7890AE38" w14:textId="77777777" w:rsidR="00C36030" w:rsidRPr="00C36030" w:rsidRDefault="00C36030" w:rsidP="00C36030">
            <w:pPr>
              <w:jc w:val="center"/>
              <w:rPr>
                <w:rFonts w:ascii="Times New Roman" w:eastAsia="Calibri" w:hAnsi="Times New Roman" w:cs="Times New Roman"/>
                <w:b/>
                <w:bCs/>
              </w:rPr>
            </w:pPr>
            <w:r w:rsidRPr="00C36030">
              <w:rPr>
                <w:rFonts w:ascii="Times New Roman" w:eastAsia="Calibri" w:hAnsi="Times New Roman" w:cs="Times New Roman"/>
                <w:b/>
                <w:bCs/>
                <w:noProof/>
              </w:rPr>
              <w:lastRenderedPageBreak/>
              <w:drawing>
                <wp:inline distT="0" distB="0" distL="0" distR="0" wp14:anchorId="271B06A4" wp14:editId="53074BA4">
                  <wp:extent cx="2742486" cy="1908313"/>
                  <wp:effectExtent l="0" t="0" r="1270" b="0"/>
                  <wp:docPr id="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7193"/>
                          <a:stretch>
                            <a:fillRect/>
                          </a:stretch>
                        </pic:blipFill>
                        <pic:spPr bwMode="auto">
                          <a:xfrm>
                            <a:off x="0" y="0"/>
                            <a:ext cx="2758280" cy="1919303"/>
                          </a:xfrm>
                          <a:prstGeom prst="rect">
                            <a:avLst/>
                          </a:prstGeom>
                          <a:noFill/>
                          <a:ln>
                            <a:noFill/>
                          </a:ln>
                        </pic:spPr>
                      </pic:pic>
                    </a:graphicData>
                  </a:graphic>
                </wp:inline>
              </w:drawing>
            </w:r>
          </w:p>
          <w:p w14:paraId="503E1E0F" w14:textId="1BD6AABE" w:rsidR="00C36030" w:rsidRPr="00C36030" w:rsidRDefault="00C36030" w:rsidP="00C36030">
            <w:pPr>
              <w:jc w:val="center"/>
              <w:rPr>
                <w:rFonts w:ascii="Times New Roman" w:eastAsia="Calibri" w:hAnsi="Times New Roman" w:cs="Times New Roman"/>
                <w:b/>
                <w:bCs/>
              </w:rPr>
            </w:pPr>
            <w:r w:rsidRPr="00C36030">
              <w:rPr>
                <w:rFonts w:ascii="Times New Roman" w:eastAsia="Calibri" w:hAnsi="Times New Roman" w:cs="Times New Roman"/>
                <w:b/>
                <w:bCs/>
              </w:rPr>
              <w:t>(A)</w:t>
            </w:r>
          </w:p>
        </w:tc>
        <w:tc>
          <w:tcPr>
            <w:tcW w:w="0" w:type="auto"/>
            <w:vAlign w:val="center"/>
          </w:tcPr>
          <w:p w14:paraId="67B2E0DF" w14:textId="77777777" w:rsidR="00C36030" w:rsidRPr="00C36030" w:rsidRDefault="00C36030" w:rsidP="00C36030">
            <w:pPr>
              <w:jc w:val="center"/>
              <w:rPr>
                <w:rFonts w:ascii="Times New Roman" w:eastAsia="Calibri" w:hAnsi="Times New Roman" w:cs="Times New Roman"/>
                <w:b/>
                <w:bCs/>
              </w:rPr>
            </w:pPr>
            <w:r w:rsidRPr="00C36030">
              <w:rPr>
                <w:rFonts w:ascii="Times New Roman" w:eastAsia="Calibri" w:hAnsi="Times New Roman" w:cs="Times New Roman"/>
                <w:b/>
                <w:bCs/>
                <w:noProof/>
              </w:rPr>
              <w:drawing>
                <wp:inline distT="0" distB="0" distL="0" distR="0" wp14:anchorId="2CC160ED" wp14:editId="683642B4">
                  <wp:extent cx="2824997" cy="1948070"/>
                  <wp:effectExtent l="0" t="0" r="0" b="0"/>
                  <wp:docPr id="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7887"/>
                          <a:stretch>
                            <a:fillRect/>
                          </a:stretch>
                        </pic:blipFill>
                        <pic:spPr bwMode="auto">
                          <a:xfrm>
                            <a:off x="0" y="0"/>
                            <a:ext cx="2839035" cy="1957751"/>
                          </a:xfrm>
                          <a:prstGeom prst="rect">
                            <a:avLst/>
                          </a:prstGeom>
                          <a:noFill/>
                          <a:ln>
                            <a:noFill/>
                          </a:ln>
                        </pic:spPr>
                      </pic:pic>
                    </a:graphicData>
                  </a:graphic>
                </wp:inline>
              </w:drawing>
            </w:r>
          </w:p>
          <w:p w14:paraId="7A13F518" w14:textId="28216122" w:rsidR="00C36030" w:rsidRPr="00C36030" w:rsidRDefault="00C36030" w:rsidP="00C36030">
            <w:pPr>
              <w:keepNext/>
              <w:jc w:val="center"/>
              <w:rPr>
                <w:rFonts w:ascii="Times New Roman" w:eastAsia="Calibri" w:hAnsi="Times New Roman" w:cs="Times New Roman"/>
                <w:b/>
                <w:bCs/>
              </w:rPr>
            </w:pPr>
            <w:r w:rsidRPr="00C36030">
              <w:rPr>
                <w:rFonts w:ascii="Times New Roman" w:eastAsia="Calibri" w:hAnsi="Times New Roman" w:cs="Times New Roman"/>
                <w:b/>
                <w:bCs/>
              </w:rPr>
              <w:t>(B)</w:t>
            </w:r>
          </w:p>
        </w:tc>
      </w:tr>
      <w:tr w:rsidR="00C36030" w:rsidRPr="00C36030" w14:paraId="61A67EAD" w14:textId="77777777" w:rsidTr="00C36030">
        <w:trPr>
          <w:trHeight w:val="20"/>
          <w:jc w:val="center"/>
        </w:trPr>
        <w:tc>
          <w:tcPr>
            <w:tcW w:w="0" w:type="auto"/>
            <w:gridSpan w:val="2"/>
            <w:vAlign w:val="center"/>
          </w:tcPr>
          <w:p w14:paraId="4A62250B" w14:textId="77777777" w:rsidR="00C36030" w:rsidRDefault="00C36030" w:rsidP="00C36030">
            <w:pPr>
              <w:jc w:val="center"/>
              <w:rPr>
                <w:rFonts w:ascii="Times New Roman" w:eastAsia="Calibri" w:hAnsi="Times New Roman" w:cs="Times New Roman"/>
                <w:b/>
                <w:bCs/>
                <w:noProof/>
              </w:rPr>
            </w:pPr>
            <w:r w:rsidRPr="00C57BB5">
              <w:rPr>
                <w:rFonts w:ascii="Times New Roman" w:eastAsia="Calibri" w:hAnsi="Times New Roman" w:cs="Times New Roman"/>
                <w:b/>
                <w:bCs/>
                <w:noProof/>
                <w:sz w:val="24"/>
                <w:szCs w:val="24"/>
              </w:rPr>
              <w:drawing>
                <wp:inline distT="0" distB="0" distL="0" distR="0" wp14:anchorId="2F0DD078" wp14:editId="6B109DFF">
                  <wp:extent cx="3013879" cy="2097157"/>
                  <wp:effectExtent l="0" t="0" r="0" b="0"/>
                  <wp:docPr id="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t="7193"/>
                          <a:stretch>
                            <a:fillRect/>
                          </a:stretch>
                        </pic:blipFill>
                        <pic:spPr bwMode="auto">
                          <a:xfrm>
                            <a:off x="0" y="0"/>
                            <a:ext cx="3036998" cy="2113244"/>
                          </a:xfrm>
                          <a:prstGeom prst="rect">
                            <a:avLst/>
                          </a:prstGeom>
                          <a:noFill/>
                          <a:ln>
                            <a:noFill/>
                          </a:ln>
                        </pic:spPr>
                      </pic:pic>
                    </a:graphicData>
                  </a:graphic>
                </wp:inline>
              </w:drawing>
            </w:r>
          </w:p>
          <w:p w14:paraId="273CC6E1" w14:textId="4A1F025C" w:rsidR="00C36030" w:rsidRPr="00C36030" w:rsidRDefault="00C36030" w:rsidP="00C36030">
            <w:pPr>
              <w:jc w:val="center"/>
              <w:rPr>
                <w:rFonts w:ascii="Times New Roman" w:eastAsia="Calibri" w:hAnsi="Times New Roman" w:cs="Times New Roman"/>
                <w:b/>
                <w:bCs/>
                <w:noProof/>
              </w:rPr>
            </w:pPr>
            <w:r>
              <w:rPr>
                <w:rFonts w:ascii="Times New Roman" w:eastAsia="Calibri" w:hAnsi="Times New Roman" w:cs="Times New Roman"/>
                <w:b/>
                <w:bCs/>
                <w:noProof/>
              </w:rPr>
              <w:t>(C)</w:t>
            </w:r>
          </w:p>
        </w:tc>
      </w:tr>
    </w:tbl>
    <w:p w14:paraId="35894D22" w14:textId="6140317F" w:rsidR="00FC039A" w:rsidRPr="00DF16A5" w:rsidRDefault="00C36030" w:rsidP="00C36030">
      <w:pPr>
        <w:pStyle w:val="Fig"/>
        <w:rPr>
          <w:rFonts w:ascii="Times New Roman" w:eastAsia="Calibri" w:hAnsi="Times New Roman" w:cs="Times New Roman"/>
          <w:highlight w:val="yellow"/>
        </w:rPr>
      </w:pPr>
      <w:r>
        <w:t xml:space="preserve">Table </w:t>
      </w:r>
      <w:fldSimple w:instr=" SEQ Table \* ARABIC ">
        <w:r w:rsidR="00583979">
          <w:rPr>
            <w:noProof/>
          </w:rPr>
          <w:t>6</w:t>
        </w:r>
      </w:fldSimple>
      <w:r>
        <w:t>: (A):</w:t>
      </w:r>
      <w:r w:rsidRPr="00C36030">
        <w:t xml:space="preserve"> ROC curve of </w:t>
      </w:r>
      <w:proofErr w:type="spellStart"/>
      <w:r w:rsidRPr="00C36030">
        <w:t>hs-cTnT</w:t>
      </w:r>
      <w:proofErr w:type="spellEnd"/>
      <w:r w:rsidRPr="00C36030">
        <w:t xml:space="preserve"> in detection of myocardial injury</w:t>
      </w:r>
      <w:r>
        <w:t>, (B):</w:t>
      </w:r>
      <w:r w:rsidRPr="00C36030">
        <w:t xml:space="preserve"> ROC curve of </w:t>
      </w:r>
      <w:proofErr w:type="spellStart"/>
      <w:r w:rsidRPr="00C36030">
        <w:t>hs-cTnI</w:t>
      </w:r>
      <w:proofErr w:type="spellEnd"/>
      <w:r w:rsidRPr="00C36030">
        <w:t xml:space="preserve"> in detection of myocardial injury</w:t>
      </w:r>
      <w:r>
        <w:t>, (C):</w:t>
      </w:r>
      <w:r w:rsidRPr="00C36030">
        <w:t xml:space="preserve"> ROC curve of CK-MB in detection of myocardial injury</w:t>
      </w:r>
    </w:p>
    <w:sectPr w:rsidR="00FC039A" w:rsidRPr="00DF16A5">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15C8" w14:textId="77777777" w:rsidR="00C75498" w:rsidRDefault="00C75498" w:rsidP="00C74384">
      <w:pPr>
        <w:spacing w:after="0" w:line="240" w:lineRule="auto"/>
      </w:pPr>
      <w:r>
        <w:separator/>
      </w:r>
    </w:p>
  </w:endnote>
  <w:endnote w:type="continuationSeparator" w:id="0">
    <w:p w14:paraId="24797ABD" w14:textId="77777777" w:rsidR="00C75498" w:rsidRDefault="00C75498"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khbar MT">
    <w:altName w:val="Times New Roman"/>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5E066" w14:textId="77777777" w:rsidR="00C74384" w:rsidRDefault="00C7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35B3" w14:textId="77777777" w:rsidR="00C75498" w:rsidRDefault="00C75498" w:rsidP="00C74384">
      <w:pPr>
        <w:spacing w:after="0" w:line="240" w:lineRule="auto"/>
      </w:pPr>
      <w:r>
        <w:separator/>
      </w:r>
    </w:p>
  </w:footnote>
  <w:footnote w:type="continuationSeparator" w:id="0">
    <w:p w14:paraId="6B5A682A" w14:textId="77777777" w:rsidR="00C75498" w:rsidRDefault="00C75498"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139252">
    <w:abstractNumId w:val="3"/>
  </w:num>
  <w:num w:numId="2" w16cid:durableId="18468102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328760">
    <w:abstractNumId w:val="7"/>
  </w:num>
  <w:num w:numId="4" w16cid:durableId="22177194">
    <w:abstractNumId w:val="5"/>
  </w:num>
  <w:num w:numId="5" w16cid:durableId="2120953834">
    <w:abstractNumId w:val="2"/>
  </w:num>
  <w:num w:numId="6" w16cid:durableId="1568808728">
    <w:abstractNumId w:val="6"/>
  </w:num>
  <w:num w:numId="7" w16cid:durableId="267780112">
    <w:abstractNumId w:val="8"/>
  </w:num>
  <w:num w:numId="8" w16cid:durableId="588546017">
    <w:abstractNumId w:val="10"/>
  </w:num>
  <w:num w:numId="9" w16cid:durableId="295136975">
    <w:abstractNumId w:val="4"/>
  </w:num>
  <w:num w:numId="10" w16cid:durableId="41946442">
    <w:abstractNumId w:val="9"/>
  </w:num>
  <w:num w:numId="11" w16cid:durableId="755787037">
    <w:abstractNumId w:val="1"/>
  </w:num>
  <w:num w:numId="12" w16cid:durableId="42947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0458C"/>
    <w:rsid w:val="00002481"/>
    <w:rsid w:val="00003169"/>
    <w:rsid w:val="0000402E"/>
    <w:rsid w:val="00005B76"/>
    <w:rsid w:val="00012A12"/>
    <w:rsid w:val="00015DBA"/>
    <w:rsid w:val="000245C3"/>
    <w:rsid w:val="00025A1C"/>
    <w:rsid w:val="00044AB2"/>
    <w:rsid w:val="00047774"/>
    <w:rsid w:val="0005337F"/>
    <w:rsid w:val="00057E60"/>
    <w:rsid w:val="00060655"/>
    <w:rsid w:val="000628C8"/>
    <w:rsid w:val="00063B51"/>
    <w:rsid w:val="00065EA1"/>
    <w:rsid w:val="00066A36"/>
    <w:rsid w:val="00067272"/>
    <w:rsid w:val="00070077"/>
    <w:rsid w:val="000710AB"/>
    <w:rsid w:val="00074C71"/>
    <w:rsid w:val="000879A7"/>
    <w:rsid w:val="00093911"/>
    <w:rsid w:val="00096CE7"/>
    <w:rsid w:val="00097809"/>
    <w:rsid w:val="000A1271"/>
    <w:rsid w:val="000A22A9"/>
    <w:rsid w:val="000A2DB1"/>
    <w:rsid w:val="000A39B8"/>
    <w:rsid w:val="000A441D"/>
    <w:rsid w:val="000A7323"/>
    <w:rsid w:val="000A7DB0"/>
    <w:rsid w:val="000B0345"/>
    <w:rsid w:val="000B2793"/>
    <w:rsid w:val="000B3487"/>
    <w:rsid w:val="000B7E10"/>
    <w:rsid w:val="000C5FCB"/>
    <w:rsid w:val="000C6CB0"/>
    <w:rsid w:val="000D1B47"/>
    <w:rsid w:val="000D4011"/>
    <w:rsid w:val="000D52EF"/>
    <w:rsid w:val="000D79A5"/>
    <w:rsid w:val="000E00EC"/>
    <w:rsid w:val="000E12B8"/>
    <w:rsid w:val="000E7B9E"/>
    <w:rsid w:val="000F1170"/>
    <w:rsid w:val="000F1C81"/>
    <w:rsid w:val="000F2063"/>
    <w:rsid w:val="000F21A7"/>
    <w:rsid w:val="000F6F30"/>
    <w:rsid w:val="001013CD"/>
    <w:rsid w:val="00110757"/>
    <w:rsid w:val="001114AC"/>
    <w:rsid w:val="00111B7A"/>
    <w:rsid w:val="00113F38"/>
    <w:rsid w:val="00122651"/>
    <w:rsid w:val="00124296"/>
    <w:rsid w:val="00124BE9"/>
    <w:rsid w:val="0013014E"/>
    <w:rsid w:val="0013238F"/>
    <w:rsid w:val="00136557"/>
    <w:rsid w:val="00137E4A"/>
    <w:rsid w:val="001448DE"/>
    <w:rsid w:val="00154D00"/>
    <w:rsid w:val="00154ED4"/>
    <w:rsid w:val="00156F36"/>
    <w:rsid w:val="00164270"/>
    <w:rsid w:val="00170580"/>
    <w:rsid w:val="00171E82"/>
    <w:rsid w:val="0017313E"/>
    <w:rsid w:val="001806DE"/>
    <w:rsid w:val="00181861"/>
    <w:rsid w:val="001821B0"/>
    <w:rsid w:val="00183C54"/>
    <w:rsid w:val="00183C88"/>
    <w:rsid w:val="0019100B"/>
    <w:rsid w:val="00193C5B"/>
    <w:rsid w:val="001A3C75"/>
    <w:rsid w:val="001B0DBF"/>
    <w:rsid w:val="001B6F1B"/>
    <w:rsid w:val="001D11FD"/>
    <w:rsid w:val="001D2A4E"/>
    <w:rsid w:val="001D3A11"/>
    <w:rsid w:val="001D5F11"/>
    <w:rsid w:val="001D61DE"/>
    <w:rsid w:val="001E180D"/>
    <w:rsid w:val="001E28E3"/>
    <w:rsid w:val="00200257"/>
    <w:rsid w:val="002010D5"/>
    <w:rsid w:val="00211CCF"/>
    <w:rsid w:val="002152C1"/>
    <w:rsid w:val="00215D22"/>
    <w:rsid w:val="00216009"/>
    <w:rsid w:val="002247FE"/>
    <w:rsid w:val="00224D86"/>
    <w:rsid w:val="002263F9"/>
    <w:rsid w:val="00226407"/>
    <w:rsid w:val="00227048"/>
    <w:rsid w:val="00235F12"/>
    <w:rsid w:val="00236FF5"/>
    <w:rsid w:val="0024066F"/>
    <w:rsid w:val="002462CF"/>
    <w:rsid w:val="00254ADA"/>
    <w:rsid w:val="00267AAC"/>
    <w:rsid w:val="00267EF7"/>
    <w:rsid w:val="00273ABD"/>
    <w:rsid w:val="002772FA"/>
    <w:rsid w:val="0028081A"/>
    <w:rsid w:val="002834CF"/>
    <w:rsid w:val="0029554D"/>
    <w:rsid w:val="002958FE"/>
    <w:rsid w:val="00296BF6"/>
    <w:rsid w:val="00297D0E"/>
    <w:rsid w:val="002B18DF"/>
    <w:rsid w:val="002B51D7"/>
    <w:rsid w:val="002B584A"/>
    <w:rsid w:val="002C0C70"/>
    <w:rsid w:val="002C5C94"/>
    <w:rsid w:val="002C6932"/>
    <w:rsid w:val="002C7906"/>
    <w:rsid w:val="002D24C3"/>
    <w:rsid w:val="002D5CAC"/>
    <w:rsid w:val="002D608E"/>
    <w:rsid w:val="002E294B"/>
    <w:rsid w:val="002F3254"/>
    <w:rsid w:val="002F36D1"/>
    <w:rsid w:val="002F4F17"/>
    <w:rsid w:val="002F510C"/>
    <w:rsid w:val="00307D5D"/>
    <w:rsid w:val="00311018"/>
    <w:rsid w:val="00311C07"/>
    <w:rsid w:val="00311CCE"/>
    <w:rsid w:val="0031332E"/>
    <w:rsid w:val="00317776"/>
    <w:rsid w:val="00320C7C"/>
    <w:rsid w:val="00325EFF"/>
    <w:rsid w:val="003268AA"/>
    <w:rsid w:val="00344B51"/>
    <w:rsid w:val="00346F3E"/>
    <w:rsid w:val="00350C0E"/>
    <w:rsid w:val="00353FAD"/>
    <w:rsid w:val="0035559E"/>
    <w:rsid w:val="003608CD"/>
    <w:rsid w:val="003619B4"/>
    <w:rsid w:val="00374077"/>
    <w:rsid w:val="003750FF"/>
    <w:rsid w:val="0037534B"/>
    <w:rsid w:val="00377343"/>
    <w:rsid w:val="00387606"/>
    <w:rsid w:val="00387AE4"/>
    <w:rsid w:val="003978A0"/>
    <w:rsid w:val="003A5226"/>
    <w:rsid w:val="003A7C02"/>
    <w:rsid w:val="003B210A"/>
    <w:rsid w:val="003C195A"/>
    <w:rsid w:val="003C2DC3"/>
    <w:rsid w:val="003C3E84"/>
    <w:rsid w:val="003C4F60"/>
    <w:rsid w:val="003D4F79"/>
    <w:rsid w:val="003E5294"/>
    <w:rsid w:val="003F3521"/>
    <w:rsid w:val="0040421D"/>
    <w:rsid w:val="00405490"/>
    <w:rsid w:val="0040571D"/>
    <w:rsid w:val="00406480"/>
    <w:rsid w:val="00410FA6"/>
    <w:rsid w:val="004115AB"/>
    <w:rsid w:val="00412723"/>
    <w:rsid w:val="0041313E"/>
    <w:rsid w:val="00417142"/>
    <w:rsid w:val="004174C5"/>
    <w:rsid w:val="00422650"/>
    <w:rsid w:val="00423FA0"/>
    <w:rsid w:val="00424297"/>
    <w:rsid w:val="004245E3"/>
    <w:rsid w:val="004250CC"/>
    <w:rsid w:val="004268F1"/>
    <w:rsid w:val="004276D7"/>
    <w:rsid w:val="00430583"/>
    <w:rsid w:val="00431488"/>
    <w:rsid w:val="00431FC1"/>
    <w:rsid w:val="00432345"/>
    <w:rsid w:val="00441130"/>
    <w:rsid w:val="00442526"/>
    <w:rsid w:val="00443A2D"/>
    <w:rsid w:val="00446862"/>
    <w:rsid w:val="0045067C"/>
    <w:rsid w:val="00451FD1"/>
    <w:rsid w:val="00454613"/>
    <w:rsid w:val="00462A63"/>
    <w:rsid w:val="00464B40"/>
    <w:rsid w:val="00484C7E"/>
    <w:rsid w:val="00491058"/>
    <w:rsid w:val="00492410"/>
    <w:rsid w:val="004A0473"/>
    <w:rsid w:val="004A0575"/>
    <w:rsid w:val="004A1995"/>
    <w:rsid w:val="004A1FCB"/>
    <w:rsid w:val="004A20CD"/>
    <w:rsid w:val="004A2B04"/>
    <w:rsid w:val="004A5871"/>
    <w:rsid w:val="004A780A"/>
    <w:rsid w:val="004A7F7D"/>
    <w:rsid w:val="004B119F"/>
    <w:rsid w:val="004B2C07"/>
    <w:rsid w:val="004B2F14"/>
    <w:rsid w:val="004C076B"/>
    <w:rsid w:val="004C18F0"/>
    <w:rsid w:val="004C324D"/>
    <w:rsid w:val="004C48F3"/>
    <w:rsid w:val="004D0C5A"/>
    <w:rsid w:val="004D2549"/>
    <w:rsid w:val="004D2BC3"/>
    <w:rsid w:val="004E1DDE"/>
    <w:rsid w:val="004E2A76"/>
    <w:rsid w:val="004E5293"/>
    <w:rsid w:val="004E66FE"/>
    <w:rsid w:val="004E7CC8"/>
    <w:rsid w:val="004F62AF"/>
    <w:rsid w:val="004F71C4"/>
    <w:rsid w:val="004F7942"/>
    <w:rsid w:val="005016A7"/>
    <w:rsid w:val="00503102"/>
    <w:rsid w:val="00504FDE"/>
    <w:rsid w:val="00510144"/>
    <w:rsid w:val="00511C7B"/>
    <w:rsid w:val="00517288"/>
    <w:rsid w:val="005174FC"/>
    <w:rsid w:val="005205B8"/>
    <w:rsid w:val="005214CF"/>
    <w:rsid w:val="00524F65"/>
    <w:rsid w:val="0052541E"/>
    <w:rsid w:val="00531937"/>
    <w:rsid w:val="005348B4"/>
    <w:rsid w:val="0053514D"/>
    <w:rsid w:val="00536E20"/>
    <w:rsid w:val="00540448"/>
    <w:rsid w:val="00543B98"/>
    <w:rsid w:val="00547218"/>
    <w:rsid w:val="00547E9D"/>
    <w:rsid w:val="00555462"/>
    <w:rsid w:val="00563DB8"/>
    <w:rsid w:val="00565B45"/>
    <w:rsid w:val="00567AE0"/>
    <w:rsid w:val="005731A9"/>
    <w:rsid w:val="005753A7"/>
    <w:rsid w:val="005755AC"/>
    <w:rsid w:val="00583979"/>
    <w:rsid w:val="00585F7A"/>
    <w:rsid w:val="00586E97"/>
    <w:rsid w:val="005871A8"/>
    <w:rsid w:val="00595D86"/>
    <w:rsid w:val="005B665D"/>
    <w:rsid w:val="005C2340"/>
    <w:rsid w:val="005C319C"/>
    <w:rsid w:val="005C400E"/>
    <w:rsid w:val="005C4450"/>
    <w:rsid w:val="005D23DC"/>
    <w:rsid w:val="005D59AF"/>
    <w:rsid w:val="005D7C48"/>
    <w:rsid w:val="005E36AA"/>
    <w:rsid w:val="005E4083"/>
    <w:rsid w:val="005E4549"/>
    <w:rsid w:val="005E501A"/>
    <w:rsid w:val="005E5FAC"/>
    <w:rsid w:val="005E6D2C"/>
    <w:rsid w:val="005F1ACB"/>
    <w:rsid w:val="005F383B"/>
    <w:rsid w:val="005F52A6"/>
    <w:rsid w:val="005F7461"/>
    <w:rsid w:val="005F7B54"/>
    <w:rsid w:val="006019CA"/>
    <w:rsid w:val="00602B6A"/>
    <w:rsid w:val="00602CF9"/>
    <w:rsid w:val="00603F74"/>
    <w:rsid w:val="006072B8"/>
    <w:rsid w:val="00610933"/>
    <w:rsid w:val="00611133"/>
    <w:rsid w:val="00611207"/>
    <w:rsid w:val="00613C98"/>
    <w:rsid w:val="00616470"/>
    <w:rsid w:val="00622AC7"/>
    <w:rsid w:val="006314F4"/>
    <w:rsid w:val="00636CB3"/>
    <w:rsid w:val="006376EF"/>
    <w:rsid w:val="006400BD"/>
    <w:rsid w:val="00640693"/>
    <w:rsid w:val="00642872"/>
    <w:rsid w:val="006434B1"/>
    <w:rsid w:val="00643A70"/>
    <w:rsid w:val="006509F5"/>
    <w:rsid w:val="0065225F"/>
    <w:rsid w:val="00652D5C"/>
    <w:rsid w:val="0066215A"/>
    <w:rsid w:val="00665A4C"/>
    <w:rsid w:val="00670CCD"/>
    <w:rsid w:val="006759A6"/>
    <w:rsid w:val="00687A49"/>
    <w:rsid w:val="0069037A"/>
    <w:rsid w:val="006906D8"/>
    <w:rsid w:val="00692574"/>
    <w:rsid w:val="006948F9"/>
    <w:rsid w:val="00697F42"/>
    <w:rsid w:val="006A314B"/>
    <w:rsid w:val="006A56D3"/>
    <w:rsid w:val="006B1643"/>
    <w:rsid w:val="006B5174"/>
    <w:rsid w:val="006D1729"/>
    <w:rsid w:val="006E41E9"/>
    <w:rsid w:val="006E6DC0"/>
    <w:rsid w:val="006F03F5"/>
    <w:rsid w:val="006F6467"/>
    <w:rsid w:val="006F7974"/>
    <w:rsid w:val="006F7C14"/>
    <w:rsid w:val="006F7CB6"/>
    <w:rsid w:val="00702F31"/>
    <w:rsid w:val="00703CDD"/>
    <w:rsid w:val="00704F86"/>
    <w:rsid w:val="00706BCD"/>
    <w:rsid w:val="00725311"/>
    <w:rsid w:val="00726AA8"/>
    <w:rsid w:val="007318EA"/>
    <w:rsid w:val="0074331A"/>
    <w:rsid w:val="007455C9"/>
    <w:rsid w:val="007501EF"/>
    <w:rsid w:val="007502E6"/>
    <w:rsid w:val="00756A73"/>
    <w:rsid w:val="00757EE6"/>
    <w:rsid w:val="0076047B"/>
    <w:rsid w:val="00760792"/>
    <w:rsid w:val="00760A21"/>
    <w:rsid w:val="00771670"/>
    <w:rsid w:val="007719A3"/>
    <w:rsid w:val="00777FC4"/>
    <w:rsid w:val="00780296"/>
    <w:rsid w:val="007822D1"/>
    <w:rsid w:val="00794F50"/>
    <w:rsid w:val="007A3B46"/>
    <w:rsid w:val="007A53F9"/>
    <w:rsid w:val="007B083F"/>
    <w:rsid w:val="007B09DB"/>
    <w:rsid w:val="007B6109"/>
    <w:rsid w:val="007B6A3E"/>
    <w:rsid w:val="007C3A5C"/>
    <w:rsid w:val="007C4AF4"/>
    <w:rsid w:val="007D105D"/>
    <w:rsid w:val="007D4229"/>
    <w:rsid w:val="007E0EDB"/>
    <w:rsid w:val="007E2F24"/>
    <w:rsid w:val="007E3049"/>
    <w:rsid w:val="007E3167"/>
    <w:rsid w:val="007E4558"/>
    <w:rsid w:val="007F1B66"/>
    <w:rsid w:val="007F33EA"/>
    <w:rsid w:val="007F5E69"/>
    <w:rsid w:val="007F7C15"/>
    <w:rsid w:val="00800A58"/>
    <w:rsid w:val="0080458C"/>
    <w:rsid w:val="00804E8D"/>
    <w:rsid w:val="00806D67"/>
    <w:rsid w:val="00813A4E"/>
    <w:rsid w:val="008154B7"/>
    <w:rsid w:val="00816478"/>
    <w:rsid w:val="0082069B"/>
    <w:rsid w:val="00824017"/>
    <w:rsid w:val="0082644B"/>
    <w:rsid w:val="00827FFC"/>
    <w:rsid w:val="0083167A"/>
    <w:rsid w:val="00845DD5"/>
    <w:rsid w:val="00846BAC"/>
    <w:rsid w:val="00852560"/>
    <w:rsid w:val="00852FB2"/>
    <w:rsid w:val="008552CF"/>
    <w:rsid w:val="00856037"/>
    <w:rsid w:val="00857B8D"/>
    <w:rsid w:val="008611A1"/>
    <w:rsid w:val="00866557"/>
    <w:rsid w:val="00872DED"/>
    <w:rsid w:val="008736E2"/>
    <w:rsid w:val="00876655"/>
    <w:rsid w:val="00877CF6"/>
    <w:rsid w:val="008812DF"/>
    <w:rsid w:val="00881A41"/>
    <w:rsid w:val="00882286"/>
    <w:rsid w:val="008826B4"/>
    <w:rsid w:val="008828EC"/>
    <w:rsid w:val="00885F91"/>
    <w:rsid w:val="008878E5"/>
    <w:rsid w:val="0089244D"/>
    <w:rsid w:val="00892521"/>
    <w:rsid w:val="00896F3B"/>
    <w:rsid w:val="008A3B9B"/>
    <w:rsid w:val="008A6667"/>
    <w:rsid w:val="008B0AD0"/>
    <w:rsid w:val="008B2A24"/>
    <w:rsid w:val="008B5C6C"/>
    <w:rsid w:val="008C273D"/>
    <w:rsid w:val="008C7E61"/>
    <w:rsid w:val="008D0B4A"/>
    <w:rsid w:val="008D0D08"/>
    <w:rsid w:val="008D79EB"/>
    <w:rsid w:val="008E3C5E"/>
    <w:rsid w:val="008E539E"/>
    <w:rsid w:val="00901258"/>
    <w:rsid w:val="0090657E"/>
    <w:rsid w:val="00912406"/>
    <w:rsid w:val="00916516"/>
    <w:rsid w:val="00935123"/>
    <w:rsid w:val="009402F1"/>
    <w:rsid w:val="00944CC2"/>
    <w:rsid w:val="00944E5E"/>
    <w:rsid w:val="00947DC5"/>
    <w:rsid w:val="0095462B"/>
    <w:rsid w:val="0095492B"/>
    <w:rsid w:val="009549CC"/>
    <w:rsid w:val="009671F1"/>
    <w:rsid w:val="00970667"/>
    <w:rsid w:val="00976E59"/>
    <w:rsid w:val="009814D2"/>
    <w:rsid w:val="00982979"/>
    <w:rsid w:val="00982F67"/>
    <w:rsid w:val="0098427D"/>
    <w:rsid w:val="009908C1"/>
    <w:rsid w:val="00995184"/>
    <w:rsid w:val="00995D6A"/>
    <w:rsid w:val="009A5AA3"/>
    <w:rsid w:val="009A746D"/>
    <w:rsid w:val="009B1BEF"/>
    <w:rsid w:val="009B3AFB"/>
    <w:rsid w:val="009C013C"/>
    <w:rsid w:val="009C071A"/>
    <w:rsid w:val="009C4085"/>
    <w:rsid w:val="009C46FC"/>
    <w:rsid w:val="009D55CB"/>
    <w:rsid w:val="009D57F1"/>
    <w:rsid w:val="009E60AF"/>
    <w:rsid w:val="009F09DD"/>
    <w:rsid w:val="009F43FD"/>
    <w:rsid w:val="009F6448"/>
    <w:rsid w:val="009F7C0D"/>
    <w:rsid w:val="00A011DA"/>
    <w:rsid w:val="00A03A03"/>
    <w:rsid w:val="00A06532"/>
    <w:rsid w:val="00A06FBA"/>
    <w:rsid w:val="00A11610"/>
    <w:rsid w:val="00A12153"/>
    <w:rsid w:val="00A22480"/>
    <w:rsid w:val="00A23495"/>
    <w:rsid w:val="00A2401D"/>
    <w:rsid w:val="00A24CB0"/>
    <w:rsid w:val="00A35359"/>
    <w:rsid w:val="00A35CA9"/>
    <w:rsid w:val="00A36FD2"/>
    <w:rsid w:val="00A43343"/>
    <w:rsid w:val="00A4365C"/>
    <w:rsid w:val="00A44723"/>
    <w:rsid w:val="00A44ACA"/>
    <w:rsid w:val="00A45497"/>
    <w:rsid w:val="00A45AFD"/>
    <w:rsid w:val="00A55ABE"/>
    <w:rsid w:val="00A607F5"/>
    <w:rsid w:val="00A60B23"/>
    <w:rsid w:val="00A6214A"/>
    <w:rsid w:val="00A6367B"/>
    <w:rsid w:val="00A66F4C"/>
    <w:rsid w:val="00A71F11"/>
    <w:rsid w:val="00A76444"/>
    <w:rsid w:val="00A84EFC"/>
    <w:rsid w:val="00A9451D"/>
    <w:rsid w:val="00A97300"/>
    <w:rsid w:val="00AA271D"/>
    <w:rsid w:val="00AA51A2"/>
    <w:rsid w:val="00AB1482"/>
    <w:rsid w:val="00AB1A9D"/>
    <w:rsid w:val="00AB2F16"/>
    <w:rsid w:val="00AB5877"/>
    <w:rsid w:val="00AB6091"/>
    <w:rsid w:val="00AC3EB6"/>
    <w:rsid w:val="00AD0469"/>
    <w:rsid w:val="00AD6277"/>
    <w:rsid w:val="00AD70B2"/>
    <w:rsid w:val="00AE12A0"/>
    <w:rsid w:val="00AE4AD0"/>
    <w:rsid w:val="00AE64B2"/>
    <w:rsid w:val="00AF07F7"/>
    <w:rsid w:val="00AF605B"/>
    <w:rsid w:val="00B0034D"/>
    <w:rsid w:val="00B06472"/>
    <w:rsid w:val="00B12D0B"/>
    <w:rsid w:val="00B1694E"/>
    <w:rsid w:val="00B2094E"/>
    <w:rsid w:val="00B23E5B"/>
    <w:rsid w:val="00B25982"/>
    <w:rsid w:val="00B30763"/>
    <w:rsid w:val="00B37B34"/>
    <w:rsid w:val="00B57463"/>
    <w:rsid w:val="00B60BF2"/>
    <w:rsid w:val="00B630A7"/>
    <w:rsid w:val="00B63E1F"/>
    <w:rsid w:val="00B702E7"/>
    <w:rsid w:val="00B727C3"/>
    <w:rsid w:val="00B72928"/>
    <w:rsid w:val="00B8091D"/>
    <w:rsid w:val="00B9589F"/>
    <w:rsid w:val="00B961E1"/>
    <w:rsid w:val="00B973B9"/>
    <w:rsid w:val="00BA19B8"/>
    <w:rsid w:val="00BA4F92"/>
    <w:rsid w:val="00BA6458"/>
    <w:rsid w:val="00BA6844"/>
    <w:rsid w:val="00BA78FF"/>
    <w:rsid w:val="00BC339F"/>
    <w:rsid w:val="00BC42B1"/>
    <w:rsid w:val="00BC7A1F"/>
    <w:rsid w:val="00BC7AEE"/>
    <w:rsid w:val="00BD382A"/>
    <w:rsid w:val="00BE3B3F"/>
    <w:rsid w:val="00BE5644"/>
    <w:rsid w:val="00BF0B8A"/>
    <w:rsid w:val="00BF196A"/>
    <w:rsid w:val="00BF1C24"/>
    <w:rsid w:val="00BF225D"/>
    <w:rsid w:val="00BF32CF"/>
    <w:rsid w:val="00C00F56"/>
    <w:rsid w:val="00C06494"/>
    <w:rsid w:val="00C068DF"/>
    <w:rsid w:val="00C07A5C"/>
    <w:rsid w:val="00C237CA"/>
    <w:rsid w:val="00C32780"/>
    <w:rsid w:val="00C32BF4"/>
    <w:rsid w:val="00C33769"/>
    <w:rsid w:val="00C36030"/>
    <w:rsid w:val="00C45409"/>
    <w:rsid w:val="00C46E16"/>
    <w:rsid w:val="00C47C9A"/>
    <w:rsid w:val="00C67BF7"/>
    <w:rsid w:val="00C74384"/>
    <w:rsid w:val="00C749C7"/>
    <w:rsid w:val="00C75498"/>
    <w:rsid w:val="00C826ED"/>
    <w:rsid w:val="00C84939"/>
    <w:rsid w:val="00C90FDC"/>
    <w:rsid w:val="00C933B2"/>
    <w:rsid w:val="00C96ABB"/>
    <w:rsid w:val="00C96F43"/>
    <w:rsid w:val="00CA21C8"/>
    <w:rsid w:val="00CA59A7"/>
    <w:rsid w:val="00CA6252"/>
    <w:rsid w:val="00CB54D2"/>
    <w:rsid w:val="00CC6D91"/>
    <w:rsid w:val="00CD0A71"/>
    <w:rsid w:val="00CD2B75"/>
    <w:rsid w:val="00CF171E"/>
    <w:rsid w:val="00D01B0B"/>
    <w:rsid w:val="00D01B8F"/>
    <w:rsid w:val="00D03A5E"/>
    <w:rsid w:val="00D0481A"/>
    <w:rsid w:val="00D05D18"/>
    <w:rsid w:val="00D115B9"/>
    <w:rsid w:val="00D171E9"/>
    <w:rsid w:val="00D20E46"/>
    <w:rsid w:val="00D31171"/>
    <w:rsid w:val="00D326BC"/>
    <w:rsid w:val="00D34D9B"/>
    <w:rsid w:val="00D36AFA"/>
    <w:rsid w:val="00D36CA5"/>
    <w:rsid w:val="00D3727A"/>
    <w:rsid w:val="00D37427"/>
    <w:rsid w:val="00D412E5"/>
    <w:rsid w:val="00D41ECC"/>
    <w:rsid w:val="00D43E5F"/>
    <w:rsid w:val="00D50388"/>
    <w:rsid w:val="00D53F43"/>
    <w:rsid w:val="00D5679B"/>
    <w:rsid w:val="00D5708F"/>
    <w:rsid w:val="00D60FDF"/>
    <w:rsid w:val="00D61BD8"/>
    <w:rsid w:val="00D62F74"/>
    <w:rsid w:val="00D648A1"/>
    <w:rsid w:val="00D64F64"/>
    <w:rsid w:val="00D7211A"/>
    <w:rsid w:val="00D76D43"/>
    <w:rsid w:val="00D826DB"/>
    <w:rsid w:val="00D827BC"/>
    <w:rsid w:val="00D84D50"/>
    <w:rsid w:val="00D86EBC"/>
    <w:rsid w:val="00D87AB2"/>
    <w:rsid w:val="00D97AEB"/>
    <w:rsid w:val="00DA0C0F"/>
    <w:rsid w:val="00DA19DF"/>
    <w:rsid w:val="00DA1CB6"/>
    <w:rsid w:val="00DA523D"/>
    <w:rsid w:val="00DA5345"/>
    <w:rsid w:val="00DA78D0"/>
    <w:rsid w:val="00DB391B"/>
    <w:rsid w:val="00DB3C8B"/>
    <w:rsid w:val="00DB4BCA"/>
    <w:rsid w:val="00DB55C9"/>
    <w:rsid w:val="00DB7982"/>
    <w:rsid w:val="00DC0241"/>
    <w:rsid w:val="00DC0FF8"/>
    <w:rsid w:val="00DD672D"/>
    <w:rsid w:val="00DD7A27"/>
    <w:rsid w:val="00DE24C2"/>
    <w:rsid w:val="00DE46B5"/>
    <w:rsid w:val="00DE76C6"/>
    <w:rsid w:val="00DF07EE"/>
    <w:rsid w:val="00DF1682"/>
    <w:rsid w:val="00DF16A5"/>
    <w:rsid w:val="00DF42F9"/>
    <w:rsid w:val="00DF534F"/>
    <w:rsid w:val="00DF7BCC"/>
    <w:rsid w:val="00E0011E"/>
    <w:rsid w:val="00E1082B"/>
    <w:rsid w:val="00E10CDB"/>
    <w:rsid w:val="00E17F93"/>
    <w:rsid w:val="00E21E25"/>
    <w:rsid w:val="00E26ED2"/>
    <w:rsid w:val="00E31AD7"/>
    <w:rsid w:val="00E33963"/>
    <w:rsid w:val="00E400B1"/>
    <w:rsid w:val="00E46651"/>
    <w:rsid w:val="00E5049A"/>
    <w:rsid w:val="00E527E9"/>
    <w:rsid w:val="00E56DB1"/>
    <w:rsid w:val="00E62968"/>
    <w:rsid w:val="00E6344D"/>
    <w:rsid w:val="00E6792E"/>
    <w:rsid w:val="00E67D34"/>
    <w:rsid w:val="00E701D0"/>
    <w:rsid w:val="00E7026A"/>
    <w:rsid w:val="00E74113"/>
    <w:rsid w:val="00E82026"/>
    <w:rsid w:val="00E83F53"/>
    <w:rsid w:val="00E90D79"/>
    <w:rsid w:val="00E934F5"/>
    <w:rsid w:val="00E93B95"/>
    <w:rsid w:val="00E95362"/>
    <w:rsid w:val="00EA0074"/>
    <w:rsid w:val="00EA3271"/>
    <w:rsid w:val="00EA70EA"/>
    <w:rsid w:val="00EA7D84"/>
    <w:rsid w:val="00EC0395"/>
    <w:rsid w:val="00EC0505"/>
    <w:rsid w:val="00EC1A38"/>
    <w:rsid w:val="00EC6694"/>
    <w:rsid w:val="00EC67B6"/>
    <w:rsid w:val="00ED1E3C"/>
    <w:rsid w:val="00ED5908"/>
    <w:rsid w:val="00EE7D15"/>
    <w:rsid w:val="00EF3584"/>
    <w:rsid w:val="00EF3D21"/>
    <w:rsid w:val="00F0273C"/>
    <w:rsid w:val="00F03B8A"/>
    <w:rsid w:val="00F073ED"/>
    <w:rsid w:val="00F11DEB"/>
    <w:rsid w:val="00F16239"/>
    <w:rsid w:val="00F22207"/>
    <w:rsid w:val="00F26E7A"/>
    <w:rsid w:val="00F309D8"/>
    <w:rsid w:val="00F5096E"/>
    <w:rsid w:val="00F53CA5"/>
    <w:rsid w:val="00F542B5"/>
    <w:rsid w:val="00F556EE"/>
    <w:rsid w:val="00F61580"/>
    <w:rsid w:val="00F61A31"/>
    <w:rsid w:val="00F73676"/>
    <w:rsid w:val="00F749AA"/>
    <w:rsid w:val="00F75BBE"/>
    <w:rsid w:val="00F80CC5"/>
    <w:rsid w:val="00F821E6"/>
    <w:rsid w:val="00F84318"/>
    <w:rsid w:val="00F85B98"/>
    <w:rsid w:val="00F8671D"/>
    <w:rsid w:val="00F87E93"/>
    <w:rsid w:val="00F91F1C"/>
    <w:rsid w:val="00F93EF8"/>
    <w:rsid w:val="00F94FD6"/>
    <w:rsid w:val="00F95333"/>
    <w:rsid w:val="00FA1EEA"/>
    <w:rsid w:val="00FA1F92"/>
    <w:rsid w:val="00FB0A9D"/>
    <w:rsid w:val="00FB2C40"/>
    <w:rsid w:val="00FB2FCA"/>
    <w:rsid w:val="00FB5EE4"/>
    <w:rsid w:val="00FC039A"/>
    <w:rsid w:val="00FC734D"/>
    <w:rsid w:val="00FD18AE"/>
    <w:rsid w:val="00FD3196"/>
    <w:rsid w:val="00FE6005"/>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next w:val="TableNormal"/>
    <w:uiPriority w:val="42"/>
    <w:rsid w:val="006F03F5"/>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4725">
      <w:bodyDiv w:val="1"/>
      <w:marLeft w:val="0"/>
      <w:marRight w:val="0"/>
      <w:marTop w:val="0"/>
      <w:marBottom w:val="0"/>
      <w:divBdr>
        <w:top w:val="none" w:sz="0" w:space="0" w:color="auto"/>
        <w:left w:val="none" w:sz="0" w:space="0" w:color="auto"/>
        <w:bottom w:val="none" w:sz="0" w:space="0" w:color="auto"/>
        <w:right w:val="none" w:sz="0" w:space="0" w:color="auto"/>
      </w:divBdr>
    </w:div>
    <w:div w:id="395125018">
      <w:bodyDiv w:val="1"/>
      <w:marLeft w:val="0"/>
      <w:marRight w:val="0"/>
      <w:marTop w:val="0"/>
      <w:marBottom w:val="0"/>
      <w:divBdr>
        <w:top w:val="none" w:sz="0" w:space="0" w:color="auto"/>
        <w:left w:val="none" w:sz="0" w:space="0" w:color="auto"/>
        <w:bottom w:val="none" w:sz="0" w:space="0" w:color="auto"/>
        <w:right w:val="none" w:sz="0" w:space="0" w:color="auto"/>
      </w:divBdr>
    </w:div>
    <w:div w:id="727458388">
      <w:bodyDiv w:val="1"/>
      <w:marLeft w:val="0"/>
      <w:marRight w:val="0"/>
      <w:marTop w:val="0"/>
      <w:marBottom w:val="0"/>
      <w:divBdr>
        <w:top w:val="none" w:sz="0" w:space="0" w:color="auto"/>
        <w:left w:val="none" w:sz="0" w:space="0" w:color="auto"/>
        <w:bottom w:val="none" w:sz="0" w:space="0" w:color="auto"/>
        <w:right w:val="none" w:sz="0" w:space="0" w:color="auto"/>
      </w:divBdr>
    </w:div>
    <w:div w:id="8921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8465</Words>
  <Characters>48255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ساره رشدى احمد احمد مرزوق</cp:lastModifiedBy>
  <cp:revision>56</cp:revision>
  <cp:lastPrinted>2025-07-21T14:57:00Z</cp:lastPrinted>
  <dcterms:created xsi:type="dcterms:W3CDTF">2025-07-21T07:34:00Z</dcterms:created>
  <dcterms:modified xsi:type="dcterms:W3CDTF">2025-08-19T11:33:00Z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y fmtid="{D5CDD505-2E9C-101B-9397-08002B2CF9AE}" pid="25" name="GrammarlyDocumentId">
    <vt:lpwstr>32042b0b-6d8e-49ec-be38-6007447df847</vt:lpwstr>
  </property>
</Properties>
</file>